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3240" w:type="dxa"/>
        <w:tblCellMar>
          <w:top w:w="0" w:type="dxa"/>
          <w:left w:w="0" w:type="dxa"/>
          <w:bottom w:w="0" w:type="dxa"/>
          <w:right w:w="0" w:type="dxa"/>
        </w:tblCellMar>
      </w:tblPr>
      <w:tr>
        <w:trPr>
          <w:trHeight w:val="203"/>
        </w:trPr>
        <w:tc>
          <w:tcPr>
            <w:tcW w:w="5520" w:type="dxa"/>
            <w:vAlign w:val="bottom"/>
          </w:tcPr>
          <w:p>
            <w:pPr>
              <w:spacing w:after="0"/>
              <w:rPr>
                <w:sz w:val="20"/>
                <w:szCs w:val="20"/>
                <w:color w:val="auto"/>
              </w:rPr>
            </w:pPr>
            <w:r>
              <w:rPr>
                <w:rFonts w:ascii="Arial" w:cs="Arial" w:eastAsia="Arial" w:hAnsi="Arial"/>
                <w:sz w:val="16"/>
                <w:szCs w:val="16"/>
                <w:b w:val="1"/>
                <w:bCs w:val="1"/>
                <w:color w:val="auto"/>
              </w:rPr>
              <w:t>As filed with the Securities and Exchange Commission on May 24, 2017</w:t>
            </w: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5520" w:type="dxa"/>
            <w:vAlign w:val="bottom"/>
          </w:tcPr>
          <w:p>
            <w:pPr>
              <w:ind w:left="3000"/>
              <w:spacing w:after="0"/>
              <w:rPr>
                <w:sz w:val="20"/>
                <w:szCs w:val="20"/>
                <w:color w:val="auto"/>
              </w:rPr>
            </w:pPr>
            <w:r>
              <w:rPr>
                <w:rFonts w:ascii="Arial" w:cs="Arial" w:eastAsia="Arial" w:hAnsi="Arial"/>
                <w:sz w:val="16"/>
                <w:szCs w:val="16"/>
                <w:b w:val="1"/>
                <w:bCs w:val="1"/>
                <w:color w:val="auto"/>
                <w:w w:val="99"/>
              </w:rPr>
              <w:t>Registration Statement Nos. 333-</w:t>
            </w: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 333-</w:t>
            </w:r>
          </w:p>
        </w:tc>
        <w:tc>
          <w:tcPr>
            <w:tcW w:w="1340" w:type="dxa"/>
            <w:vAlign w:val="bottom"/>
          </w:tcPr>
          <w:p>
            <w:pPr>
              <w:ind w:left="240"/>
              <w:spacing w:after="0"/>
              <w:rPr>
                <w:sz w:val="20"/>
                <w:szCs w:val="20"/>
                <w:color w:val="auto"/>
              </w:rPr>
            </w:pPr>
            <w:r>
              <w:rPr>
                <w:rFonts w:ascii="Arial" w:cs="Arial" w:eastAsia="Arial" w:hAnsi="Arial"/>
                <w:sz w:val="16"/>
                <w:szCs w:val="16"/>
                <w:b w:val="1"/>
                <w:bCs w:val="1"/>
                <w:color w:val="auto"/>
              </w:rPr>
              <w:t>-01 and 333-</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REINSURANCE GROUP OF AMERICA, INCORPORATED</w:t>
      </w:r>
    </w:p>
    <w:p>
      <w:pPr>
        <w:spacing w:after="0" w:line="42" w:lineRule="exact"/>
        <w:rPr>
          <w:sz w:val="24"/>
          <w:szCs w:val="24"/>
          <w:color w:val="auto"/>
        </w:rPr>
      </w:pPr>
    </w:p>
    <w:p>
      <w:pPr>
        <w:ind w:left="4540"/>
        <w:spacing w:after="0"/>
        <w:rPr>
          <w:sz w:val="20"/>
          <w:szCs w:val="20"/>
          <w:color w:val="auto"/>
        </w:rPr>
      </w:pPr>
      <w:r>
        <w:rPr>
          <w:rFonts w:ascii="Arial" w:cs="Arial" w:eastAsia="Arial" w:hAnsi="Arial"/>
          <w:sz w:val="20"/>
          <w:szCs w:val="20"/>
          <w:b w:val="1"/>
          <w:bCs w:val="1"/>
          <w:color w:val="auto"/>
        </w:rPr>
        <w:t>RGA CAPITAL TRUST III</w:t>
      </w:r>
    </w:p>
    <w:p>
      <w:pPr>
        <w:ind w:left="4540"/>
        <w:spacing w:after="0" w:line="233" w:lineRule="auto"/>
        <w:rPr>
          <w:sz w:val="20"/>
          <w:szCs w:val="20"/>
          <w:color w:val="auto"/>
        </w:rPr>
      </w:pPr>
      <w:r>
        <w:rPr>
          <w:rFonts w:ascii="Arial" w:cs="Arial" w:eastAsia="Arial" w:hAnsi="Arial"/>
          <w:sz w:val="20"/>
          <w:szCs w:val="20"/>
          <w:b w:val="1"/>
          <w:bCs w:val="1"/>
          <w:color w:val="auto"/>
        </w:rPr>
        <w:t>RGA CAPITAL TRUST IV</w:t>
      </w:r>
    </w:p>
    <w:p>
      <w:pPr>
        <w:jc w:val="center"/>
        <w:spacing w:after="0"/>
        <w:rPr>
          <w:sz w:val="20"/>
          <w:szCs w:val="20"/>
          <w:color w:val="auto"/>
        </w:rPr>
      </w:pPr>
      <w:r>
        <w:rPr>
          <w:rFonts w:ascii="Arial" w:cs="Arial" w:eastAsia="Arial" w:hAnsi="Arial"/>
          <w:sz w:val="14"/>
          <w:szCs w:val="14"/>
          <w:b w:val="1"/>
          <w:bCs w:val="1"/>
          <w:color w:val="auto"/>
        </w:rPr>
        <w:t>(Exact name of registrants as specified in their respective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tbl>
      <w:tblPr>
        <w:tblLayout w:type="fixed"/>
        <w:tblInd w:w="1960" w:type="dxa"/>
        <w:tblCellMar>
          <w:top w:w="0" w:type="dxa"/>
          <w:left w:w="0" w:type="dxa"/>
          <w:bottom w:w="0" w:type="dxa"/>
          <w:right w:w="0" w:type="dxa"/>
        </w:tblCellMar>
      </w:tblPr>
      <w:tr>
        <w:trPr>
          <w:trHeight w:val="203"/>
        </w:trPr>
        <w:tc>
          <w:tcPr>
            <w:tcW w:w="4000" w:type="dxa"/>
            <w:vAlign w:val="bottom"/>
          </w:tcPr>
          <w:p>
            <w:pPr>
              <w:jc w:val="center"/>
              <w:ind w:right="2063"/>
              <w:spacing w:after="0"/>
              <w:rPr>
                <w:sz w:val="20"/>
                <w:szCs w:val="20"/>
                <w:color w:val="auto"/>
              </w:rPr>
            </w:pPr>
            <w:r>
              <w:rPr>
                <w:rFonts w:ascii="Arial" w:cs="Arial" w:eastAsia="Arial" w:hAnsi="Arial"/>
                <w:sz w:val="16"/>
                <w:szCs w:val="16"/>
                <w:b w:val="1"/>
                <w:bCs w:val="1"/>
                <w:color w:val="auto"/>
                <w:w w:val="94"/>
              </w:rPr>
              <w:t>Missouri</w:t>
            </w:r>
          </w:p>
        </w:tc>
        <w:tc>
          <w:tcPr>
            <w:tcW w:w="3260" w:type="dxa"/>
            <w:vAlign w:val="bottom"/>
          </w:tcPr>
          <w:p>
            <w:pPr>
              <w:jc w:val="center"/>
              <w:ind w:left="2043"/>
              <w:spacing w:after="0"/>
              <w:rPr>
                <w:sz w:val="20"/>
                <w:szCs w:val="20"/>
                <w:color w:val="auto"/>
              </w:rPr>
            </w:pPr>
            <w:r>
              <w:rPr>
                <w:rFonts w:ascii="Arial" w:cs="Arial" w:eastAsia="Arial" w:hAnsi="Arial"/>
                <w:sz w:val="16"/>
                <w:szCs w:val="16"/>
                <w:b w:val="1"/>
                <w:bCs w:val="1"/>
                <w:color w:val="auto"/>
                <w:w w:val="91"/>
              </w:rPr>
              <w:t>46-1627032</w:t>
            </w:r>
          </w:p>
        </w:tc>
      </w:tr>
      <w:tr>
        <w:trPr>
          <w:trHeight w:val="203"/>
        </w:trPr>
        <w:tc>
          <w:tcPr>
            <w:tcW w:w="4000" w:type="dxa"/>
            <w:vAlign w:val="bottom"/>
          </w:tcPr>
          <w:p>
            <w:pPr>
              <w:jc w:val="center"/>
              <w:ind w:right="2063"/>
              <w:spacing w:after="0"/>
              <w:rPr>
                <w:sz w:val="20"/>
                <w:szCs w:val="20"/>
                <w:color w:val="auto"/>
              </w:rPr>
            </w:pPr>
            <w:r>
              <w:rPr>
                <w:rFonts w:ascii="Arial" w:cs="Arial" w:eastAsia="Arial" w:hAnsi="Arial"/>
                <w:sz w:val="16"/>
                <w:szCs w:val="16"/>
                <w:b w:val="1"/>
                <w:bCs w:val="1"/>
                <w:color w:val="auto"/>
                <w:w w:val="93"/>
              </w:rPr>
              <w:t>Delaware</w:t>
            </w:r>
          </w:p>
        </w:tc>
        <w:tc>
          <w:tcPr>
            <w:tcW w:w="3260" w:type="dxa"/>
            <w:vAlign w:val="bottom"/>
          </w:tcPr>
          <w:p>
            <w:pPr>
              <w:jc w:val="center"/>
              <w:ind w:left="2043"/>
              <w:spacing w:after="0"/>
              <w:rPr>
                <w:sz w:val="20"/>
                <w:szCs w:val="20"/>
                <w:color w:val="auto"/>
              </w:rPr>
            </w:pPr>
            <w:r>
              <w:rPr>
                <w:rFonts w:ascii="Arial" w:cs="Arial" w:eastAsia="Arial" w:hAnsi="Arial"/>
                <w:sz w:val="16"/>
                <w:szCs w:val="16"/>
                <w:b w:val="1"/>
                <w:bCs w:val="1"/>
                <w:color w:val="auto"/>
                <w:w w:val="91"/>
              </w:rPr>
              <w:t>41-6521118</w:t>
            </w:r>
          </w:p>
        </w:tc>
      </w:tr>
      <w:tr>
        <w:trPr>
          <w:trHeight w:val="194"/>
        </w:trPr>
        <w:tc>
          <w:tcPr>
            <w:tcW w:w="4000" w:type="dxa"/>
            <w:vAlign w:val="bottom"/>
          </w:tcPr>
          <w:p>
            <w:pPr>
              <w:jc w:val="center"/>
              <w:ind w:right="2063"/>
              <w:spacing w:after="0"/>
              <w:rPr>
                <w:sz w:val="20"/>
                <w:szCs w:val="20"/>
                <w:color w:val="auto"/>
              </w:rPr>
            </w:pPr>
            <w:r>
              <w:rPr>
                <w:rFonts w:ascii="Arial" w:cs="Arial" w:eastAsia="Arial" w:hAnsi="Arial"/>
                <w:sz w:val="16"/>
                <w:szCs w:val="16"/>
                <w:b w:val="1"/>
                <w:bCs w:val="1"/>
                <w:color w:val="auto"/>
                <w:w w:val="93"/>
              </w:rPr>
              <w:t>Delaware</w:t>
            </w:r>
          </w:p>
        </w:tc>
        <w:tc>
          <w:tcPr>
            <w:tcW w:w="3260" w:type="dxa"/>
            <w:vAlign w:val="bottom"/>
          </w:tcPr>
          <w:p>
            <w:pPr>
              <w:jc w:val="center"/>
              <w:ind w:left="2043"/>
              <w:spacing w:after="0"/>
              <w:rPr>
                <w:sz w:val="20"/>
                <w:szCs w:val="20"/>
                <w:color w:val="auto"/>
              </w:rPr>
            </w:pPr>
            <w:r>
              <w:rPr>
                <w:rFonts w:ascii="Arial" w:cs="Arial" w:eastAsia="Arial" w:hAnsi="Arial"/>
                <w:sz w:val="16"/>
                <w:szCs w:val="16"/>
                <w:b w:val="1"/>
                <w:bCs w:val="1"/>
                <w:color w:val="auto"/>
                <w:w w:val="91"/>
              </w:rPr>
              <w:t>41-6521120</w:t>
            </w:r>
          </w:p>
        </w:tc>
      </w:tr>
      <w:tr>
        <w:trPr>
          <w:trHeight w:val="149"/>
        </w:trPr>
        <w:tc>
          <w:tcPr>
            <w:tcW w:w="4000" w:type="dxa"/>
            <w:vAlign w:val="bottom"/>
          </w:tcPr>
          <w:p>
            <w:pPr>
              <w:jc w:val="center"/>
              <w:ind w:right="20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43"/>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00" w:type="dxa"/>
            <w:vAlign w:val="bottom"/>
          </w:tcPr>
          <w:p>
            <w:pPr>
              <w:jc w:val="center"/>
              <w:ind w:right="2043"/>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3"/>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93345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16600 Swingley Ridge Road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Chesterfield, Missouri 63017-1706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(636) 736-7000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7"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3960" w:type="dxa"/>
            <w:vAlign w:val="bottom"/>
          </w:tcPr>
          <w:p>
            <w:pPr>
              <w:spacing w:after="0"/>
              <w:rPr>
                <w:sz w:val="17"/>
                <w:szCs w:val="17"/>
                <w:color w:val="auto"/>
              </w:rPr>
            </w:pPr>
          </w:p>
        </w:tc>
        <w:tc>
          <w:tcPr>
            <w:tcW w:w="49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Copies to:</w:t>
            </w:r>
          </w:p>
        </w:tc>
      </w:tr>
      <w:tr>
        <w:trPr>
          <w:trHeight w:val="235"/>
        </w:trPr>
        <w:tc>
          <w:tcPr>
            <w:tcW w:w="3960" w:type="dxa"/>
            <w:vAlign w:val="bottom"/>
          </w:tcPr>
          <w:p>
            <w:pPr>
              <w:jc w:val="center"/>
              <w:ind w:right="261"/>
              <w:spacing w:after="0"/>
              <w:rPr>
                <w:sz w:val="20"/>
                <w:szCs w:val="20"/>
                <w:color w:val="auto"/>
              </w:rPr>
            </w:pPr>
            <w:r>
              <w:rPr>
                <w:rFonts w:ascii="Arial" w:cs="Arial" w:eastAsia="Arial" w:hAnsi="Arial"/>
                <w:sz w:val="16"/>
                <w:szCs w:val="16"/>
                <w:b w:val="1"/>
                <w:bCs w:val="1"/>
                <w:color w:val="auto"/>
                <w:w w:val="92"/>
              </w:rPr>
              <w:t>Clifford R. Jenks</w:t>
            </w:r>
          </w:p>
        </w:tc>
        <w:tc>
          <w:tcPr>
            <w:tcW w:w="4900" w:type="dxa"/>
            <w:vAlign w:val="bottom"/>
          </w:tcPr>
          <w:p>
            <w:pPr>
              <w:jc w:val="center"/>
              <w:ind w:left="2239"/>
              <w:spacing w:after="0"/>
              <w:rPr>
                <w:sz w:val="20"/>
                <w:szCs w:val="20"/>
                <w:color w:val="auto"/>
              </w:rPr>
            </w:pPr>
            <w:r>
              <w:rPr>
                <w:rFonts w:ascii="Arial" w:cs="Arial" w:eastAsia="Arial" w:hAnsi="Arial"/>
                <w:sz w:val="16"/>
                <w:szCs w:val="16"/>
                <w:b w:val="1"/>
                <w:bCs w:val="1"/>
                <w:color w:val="auto"/>
                <w:w w:val="93"/>
              </w:rPr>
              <w:t>R. Randall Wang, Esq.</w:t>
            </w:r>
          </w:p>
        </w:tc>
      </w:tr>
      <w:tr>
        <w:trPr>
          <w:trHeight w:val="203"/>
        </w:trPr>
        <w:tc>
          <w:tcPr>
            <w:tcW w:w="3960" w:type="dxa"/>
            <w:vAlign w:val="bottom"/>
          </w:tcPr>
          <w:p>
            <w:pPr>
              <w:jc w:val="center"/>
              <w:ind w:right="261"/>
              <w:spacing w:after="0"/>
              <w:rPr>
                <w:sz w:val="20"/>
                <w:szCs w:val="20"/>
                <w:color w:val="auto"/>
              </w:rPr>
            </w:pPr>
            <w:r>
              <w:rPr>
                <w:rFonts w:ascii="Arial" w:cs="Arial" w:eastAsia="Arial" w:hAnsi="Arial"/>
                <w:sz w:val="16"/>
                <w:szCs w:val="16"/>
                <w:b w:val="1"/>
                <w:bCs w:val="1"/>
                <w:color w:val="auto"/>
                <w:w w:val="89"/>
              </w:rPr>
              <w:t>Vice President, Assistant General Counsel</w:t>
            </w:r>
          </w:p>
        </w:tc>
        <w:tc>
          <w:tcPr>
            <w:tcW w:w="4900" w:type="dxa"/>
            <w:vAlign w:val="bottom"/>
          </w:tcPr>
          <w:p>
            <w:pPr>
              <w:jc w:val="center"/>
              <w:ind w:left="2239"/>
              <w:spacing w:after="0"/>
              <w:rPr>
                <w:sz w:val="20"/>
                <w:szCs w:val="20"/>
                <w:color w:val="auto"/>
              </w:rPr>
            </w:pPr>
            <w:r>
              <w:rPr>
                <w:rFonts w:ascii="Arial" w:cs="Arial" w:eastAsia="Arial" w:hAnsi="Arial"/>
                <w:sz w:val="16"/>
                <w:szCs w:val="16"/>
                <w:b w:val="1"/>
                <w:bCs w:val="1"/>
                <w:color w:val="auto"/>
                <w:w w:val="96"/>
              </w:rPr>
              <w:t>Bryan Cave LLP</w:t>
            </w:r>
          </w:p>
        </w:tc>
      </w:tr>
      <w:tr>
        <w:trPr>
          <w:trHeight w:val="203"/>
        </w:trPr>
        <w:tc>
          <w:tcPr>
            <w:tcW w:w="3960" w:type="dxa"/>
            <w:vAlign w:val="bottom"/>
          </w:tcPr>
          <w:p>
            <w:pPr>
              <w:jc w:val="center"/>
              <w:ind w:right="261"/>
              <w:spacing w:after="0"/>
              <w:rPr>
                <w:sz w:val="20"/>
                <w:szCs w:val="20"/>
                <w:color w:val="auto"/>
              </w:rPr>
            </w:pPr>
            <w:r>
              <w:rPr>
                <w:rFonts w:ascii="Arial" w:cs="Arial" w:eastAsia="Arial" w:hAnsi="Arial"/>
                <w:sz w:val="16"/>
                <w:szCs w:val="16"/>
                <w:b w:val="1"/>
                <w:bCs w:val="1"/>
                <w:color w:val="auto"/>
                <w:w w:val="90"/>
              </w:rPr>
              <w:t>&amp; Assistant Secretary</w:t>
            </w:r>
          </w:p>
        </w:tc>
        <w:tc>
          <w:tcPr>
            <w:tcW w:w="4900" w:type="dxa"/>
            <w:vAlign w:val="bottom"/>
          </w:tcPr>
          <w:p>
            <w:pPr>
              <w:jc w:val="center"/>
              <w:ind w:left="2239"/>
              <w:spacing w:after="0"/>
              <w:rPr>
                <w:sz w:val="20"/>
                <w:szCs w:val="20"/>
                <w:color w:val="auto"/>
              </w:rPr>
            </w:pPr>
            <w:r>
              <w:rPr>
                <w:rFonts w:ascii="Arial" w:cs="Arial" w:eastAsia="Arial" w:hAnsi="Arial"/>
                <w:sz w:val="16"/>
                <w:szCs w:val="16"/>
                <w:b w:val="1"/>
                <w:bCs w:val="1"/>
                <w:color w:val="auto"/>
                <w:w w:val="92"/>
              </w:rPr>
              <w:t>One Metropolitan Square, Suite 3600</w:t>
            </w:r>
          </w:p>
        </w:tc>
      </w:tr>
      <w:tr>
        <w:trPr>
          <w:trHeight w:val="203"/>
        </w:trPr>
        <w:tc>
          <w:tcPr>
            <w:tcW w:w="3960" w:type="dxa"/>
            <w:vAlign w:val="bottom"/>
          </w:tcPr>
          <w:p>
            <w:pPr>
              <w:jc w:val="center"/>
              <w:ind w:right="261"/>
              <w:spacing w:after="0"/>
              <w:rPr>
                <w:sz w:val="20"/>
                <w:szCs w:val="20"/>
                <w:color w:val="auto"/>
              </w:rPr>
            </w:pPr>
            <w:r>
              <w:rPr>
                <w:rFonts w:ascii="Arial" w:cs="Arial" w:eastAsia="Arial" w:hAnsi="Arial"/>
                <w:sz w:val="16"/>
                <w:szCs w:val="16"/>
                <w:b w:val="1"/>
                <w:bCs w:val="1"/>
                <w:color w:val="auto"/>
                <w:w w:val="92"/>
              </w:rPr>
              <w:t>Reinsurance Group of America, Incorporated</w:t>
            </w:r>
          </w:p>
        </w:tc>
        <w:tc>
          <w:tcPr>
            <w:tcW w:w="4900" w:type="dxa"/>
            <w:vAlign w:val="bottom"/>
          </w:tcPr>
          <w:p>
            <w:pPr>
              <w:jc w:val="center"/>
              <w:ind w:left="2239"/>
              <w:spacing w:after="0"/>
              <w:rPr>
                <w:sz w:val="20"/>
                <w:szCs w:val="20"/>
                <w:color w:val="auto"/>
              </w:rPr>
            </w:pPr>
            <w:r>
              <w:rPr>
                <w:rFonts w:ascii="Arial" w:cs="Arial" w:eastAsia="Arial" w:hAnsi="Arial"/>
                <w:sz w:val="16"/>
                <w:szCs w:val="16"/>
                <w:b w:val="1"/>
                <w:bCs w:val="1"/>
                <w:color w:val="auto"/>
                <w:w w:val="90"/>
              </w:rPr>
              <w:t>St. Louis, Missouri 63102</w:t>
            </w:r>
          </w:p>
        </w:tc>
      </w:tr>
      <w:tr>
        <w:trPr>
          <w:trHeight w:val="203"/>
        </w:trPr>
        <w:tc>
          <w:tcPr>
            <w:tcW w:w="3960" w:type="dxa"/>
            <w:vAlign w:val="bottom"/>
          </w:tcPr>
          <w:p>
            <w:pPr>
              <w:jc w:val="center"/>
              <w:ind w:right="241"/>
              <w:spacing w:after="0"/>
              <w:rPr>
                <w:sz w:val="20"/>
                <w:szCs w:val="20"/>
                <w:color w:val="auto"/>
              </w:rPr>
            </w:pPr>
            <w:r>
              <w:rPr>
                <w:rFonts w:ascii="Arial" w:cs="Arial" w:eastAsia="Arial" w:hAnsi="Arial"/>
                <w:sz w:val="16"/>
                <w:szCs w:val="16"/>
                <w:b w:val="1"/>
                <w:bCs w:val="1"/>
                <w:color w:val="auto"/>
                <w:w w:val="90"/>
              </w:rPr>
              <w:t>16600 Swingley Ridge Road</w:t>
            </w:r>
          </w:p>
        </w:tc>
        <w:tc>
          <w:tcPr>
            <w:tcW w:w="4900" w:type="dxa"/>
            <w:vAlign w:val="bottom"/>
          </w:tcPr>
          <w:p>
            <w:pPr>
              <w:jc w:val="center"/>
              <w:ind w:left="2259"/>
              <w:spacing w:after="0"/>
              <w:rPr>
                <w:sz w:val="20"/>
                <w:szCs w:val="20"/>
                <w:color w:val="auto"/>
              </w:rPr>
            </w:pPr>
            <w:r>
              <w:rPr>
                <w:rFonts w:ascii="Arial" w:cs="Arial" w:eastAsia="Arial" w:hAnsi="Arial"/>
                <w:sz w:val="16"/>
                <w:szCs w:val="16"/>
                <w:b w:val="1"/>
                <w:bCs w:val="1"/>
                <w:color w:val="auto"/>
                <w:w w:val="92"/>
              </w:rPr>
              <w:t>314-259-2000</w:t>
            </w:r>
          </w:p>
        </w:tc>
      </w:tr>
      <w:tr>
        <w:trPr>
          <w:trHeight w:val="203"/>
        </w:trPr>
        <w:tc>
          <w:tcPr>
            <w:tcW w:w="3960" w:type="dxa"/>
            <w:vAlign w:val="bottom"/>
          </w:tcPr>
          <w:p>
            <w:pPr>
              <w:jc w:val="center"/>
              <w:ind w:right="241"/>
              <w:spacing w:after="0"/>
              <w:rPr>
                <w:sz w:val="20"/>
                <w:szCs w:val="20"/>
                <w:color w:val="auto"/>
              </w:rPr>
            </w:pPr>
            <w:r>
              <w:rPr>
                <w:rFonts w:ascii="Arial" w:cs="Arial" w:eastAsia="Arial" w:hAnsi="Arial"/>
                <w:sz w:val="16"/>
                <w:szCs w:val="16"/>
                <w:b w:val="1"/>
                <w:bCs w:val="1"/>
                <w:color w:val="auto"/>
                <w:w w:val="91"/>
              </w:rPr>
              <w:t>Chesterfield, Missouri 63017-1706</w:t>
            </w:r>
          </w:p>
        </w:tc>
        <w:tc>
          <w:tcPr>
            <w:tcW w:w="4900" w:type="dxa"/>
            <w:vAlign w:val="bottom"/>
          </w:tcPr>
          <w:p>
            <w:pPr>
              <w:jc w:val="center"/>
              <w:ind w:left="2239"/>
              <w:spacing w:after="0"/>
              <w:rPr>
                <w:sz w:val="20"/>
                <w:szCs w:val="20"/>
                <w:color w:val="auto"/>
              </w:rPr>
            </w:pPr>
            <w:r>
              <w:rPr>
                <w:rFonts w:ascii="Arial" w:cs="Arial" w:eastAsia="Arial" w:hAnsi="Arial"/>
                <w:sz w:val="16"/>
                <w:szCs w:val="16"/>
                <w:b w:val="1"/>
                <w:bCs w:val="1"/>
                <w:color w:val="auto"/>
                <w:w w:val="92"/>
              </w:rPr>
              <w:t>Fax 314-552-8149</w:t>
            </w:r>
          </w:p>
        </w:tc>
      </w:tr>
      <w:tr>
        <w:trPr>
          <w:trHeight w:val="194"/>
        </w:trPr>
        <w:tc>
          <w:tcPr>
            <w:tcW w:w="3960" w:type="dxa"/>
            <w:vAlign w:val="bottom"/>
          </w:tcPr>
          <w:p>
            <w:pPr>
              <w:jc w:val="center"/>
              <w:ind w:right="241"/>
              <w:spacing w:after="0"/>
              <w:rPr>
                <w:sz w:val="20"/>
                <w:szCs w:val="20"/>
                <w:color w:val="auto"/>
              </w:rPr>
            </w:pPr>
            <w:r>
              <w:rPr>
                <w:rFonts w:ascii="Arial" w:cs="Arial" w:eastAsia="Arial" w:hAnsi="Arial"/>
                <w:sz w:val="16"/>
                <w:szCs w:val="16"/>
                <w:b w:val="1"/>
                <w:bCs w:val="1"/>
                <w:color w:val="auto"/>
                <w:w w:val="92"/>
              </w:rPr>
              <w:t>636-736-7000</w:t>
            </w:r>
          </w:p>
        </w:tc>
        <w:tc>
          <w:tcPr>
            <w:tcW w:w="4900" w:type="dxa"/>
            <w:vAlign w:val="bottom"/>
          </w:tcPr>
          <w:p>
            <w:pPr>
              <w:spacing w:after="0"/>
              <w:rPr>
                <w:sz w:val="16"/>
                <w:szCs w:val="16"/>
                <w:color w:val="auto"/>
              </w:rPr>
            </w:pPr>
          </w:p>
        </w:tc>
      </w:tr>
      <w:tr>
        <w:trPr>
          <w:trHeight w:val="149"/>
        </w:trPr>
        <w:tc>
          <w:tcPr>
            <w:tcW w:w="396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w:t>
            </w:r>
          </w:p>
        </w:tc>
        <w:tc>
          <w:tcPr>
            <w:tcW w:w="4900" w:type="dxa"/>
            <w:vAlign w:val="bottom"/>
          </w:tcPr>
          <w:p>
            <w:pPr>
              <w:spacing w:after="0"/>
              <w:rPr>
                <w:sz w:val="12"/>
                <w:szCs w:val="12"/>
                <w:color w:val="auto"/>
              </w:rPr>
            </w:pPr>
          </w:p>
        </w:tc>
      </w:tr>
      <w:tr>
        <w:trPr>
          <w:trHeight w:val="186"/>
        </w:trPr>
        <w:tc>
          <w:tcPr>
            <w:tcW w:w="396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including area code, of agent for service)</w:t>
            </w:r>
          </w:p>
        </w:tc>
        <w:tc>
          <w:tcPr>
            <w:tcW w:w="49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registration statement becomes effective.</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6"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70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6"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right="6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0" w:type="dxa"/>
            <w:vAlign w:val="bottom"/>
          </w:tcPr>
          <w:p>
            <w:pPr>
              <w:ind w:left="2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9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4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39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460" w:type="dxa"/>
            <w:vAlign w:val="bottom"/>
            <w:tcBorders>
              <w:top w:val="single" w:sz="8" w:color="auto"/>
              <w:bottom w:val="single" w:sz="8" w:color="auto"/>
            </w:tcBorders>
          </w:tcPr>
          <w:p>
            <w:pPr>
              <w:spacing w:after="0"/>
              <w:rPr>
                <w:sz w:val="3"/>
                <w:szCs w:val="3"/>
                <w:color w:val="auto"/>
              </w:rPr>
            </w:pPr>
          </w:p>
        </w:tc>
        <w:tc>
          <w:tcPr>
            <w:tcW w:w="4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right w:val="single" w:sz="8" w:color="auto"/>
            </w:tcBorders>
          </w:tcPr>
          <w:p>
            <w:pPr>
              <w:spacing w:after="0"/>
              <w:rPr>
                <w:sz w:val="9"/>
                <w:szCs w:val="9"/>
                <w:color w:val="auto"/>
              </w:rPr>
            </w:pPr>
          </w:p>
        </w:tc>
        <w:tc>
          <w:tcPr>
            <w:tcW w:w="4940" w:type="dxa"/>
            <w:vAlign w:val="bottom"/>
          </w:tcPr>
          <w:p>
            <w:pPr>
              <w:jc w:val="center"/>
              <w:ind w:left="1926"/>
              <w:spacing w:after="0" w:line="106" w:lineRule="exact"/>
              <w:rPr>
                <w:sz w:val="20"/>
                <w:szCs w:val="20"/>
                <w:color w:val="auto"/>
              </w:rPr>
            </w:pPr>
            <w:r>
              <w:rPr>
                <w:rFonts w:ascii="Arial" w:cs="Arial" w:eastAsia="Arial" w:hAnsi="Arial"/>
                <w:sz w:val="12"/>
                <w:szCs w:val="12"/>
                <w:b w:val="1"/>
                <w:bCs w:val="1"/>
                <w:color w:val="auto"/>
              </w:rPr>
              <w:t>Amount to be Registered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4940" w:type="dxa"/>
            <w:vAlign w:val="bottom"/>
          </w:tcPr>
          <w:p>
            <w:pPr>
              <w:jc w:val="center"/>
              <w:ind w:left="1926"/>
              <w:spacing w:after="0" w:line="149" w:lineRule="exact"/>
              <w:rPr>
                <w:sz w:val="20"/>
                <w:szCs w:val="20"/>
                <w:color w:val="auto"/>
              </w:rPr>
            </w:pPr>
            <w:r>
              <w:rPr>
                <w:rFonts w:ascii="Arial" w:cs="Arial" w:eastAsia="Arial" w:hAnsi="Arial"/>
                <w:sz w:val="14"/>
                <w:szCs w:val="14"/>
                <w:b w:val="1"/>
                <w:bCs w:val="1"/>
                <w:color w:val="auto"/>
                <w:w w:val="94"/>
              </w:rPr>
              <w:t>Proposed Maximum Offering Price per Unit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60" w:type="dxa"/>
            <w:vAlign w:val="bottom"/>
            <w:tcBorders>
              <w:right w:val="single" w:sz="8" w:color="auto"/>
            </w:tcBorders>
            <w:vMerge w:val="continue"/>
          </w:tcPr>
          <w:p>
            <w:pPr>
              <w:spacing w:after="0"/>
              <w:rPr>
                <w:sz w:val="12"/>
                <w:szCs w:val="12"/>
                <w:color w:val="auto"/>
              </w:rPr>
            </w:pPr>
          </w:p>
        </w:tc>
        <w:tc>
          <w:tcPr>
            <w:tcW w:w="4940" w:type="dxa"/>
            <w:vAlign w:val="bottom"/>
          </w:tcPr>
          <w:p>
            <w:pPr>
              <w:jc w:val="center"/>
              <w:ind w:left="1926"/>
              <w:spacing w:after="0" w:line="145" w:lineRule="exact"/>
              <w:rPr>
                <w:sz w:val="20"/>
                <w:szCs w:val="20"/>
                <w:color w:val="auto"/>
              </w:rPr>
            </w:pPr>
            <w:r>
              <w:rPr>
                <w:rFonts w:ascii="Arial" w:cs="Arial" w:eastAsia="Arial" w:hAnsi="Arial"/>
                <w:sz w:val="14"/>
                <w:szCs w:val="14"/>
                <w:b w:val="1"/>
                <w:bCs w:val="1"/>
                <w:color w:val="auto"/>
                <w:w w:val="94"/>
              </w:rPr>
              <w:t>Proposed Maximum Aggregate Offering Price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4940" w:type="dxa"/>
            <w:vAlign w:val="bottom"/>
            <w:tcBorders>
              <w:bottom w:val="single" w:sz="8" w:color="auto"/>
            </w:tcBorders>
          </w:tcPr>
          <w:p>
            <w:pPr>
              <w:jc w:val="center"/>
              <w:ind w:left="1926"/>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Stock(3)</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Securities(3)</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Stock(3)</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Shares(3)</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Warrants(4)</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Purchase Contracts of RGA(5)</w:t>
            </w:r>
          </w:p>
        </w:tc>
        <w:tc>
          <w:tcPr>
            <w:tcW w:w="4940" w:type="dxa"/>
            <w:vAlign w:val="bottom"/>
            <w:tcBorders>
              <w:bottom w:val="single" w:sz="8" w:color="auto"/>
            </w:tcBorders>
          </w:tcPr>
          <w:p>
            <w:pPr>
              <w:jc w:val="center"/>
              <w:ind w:left="1926"/>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Units(6)</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Securities of RGA Capital Trust III</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Securities of RGA Capital Trust IV</w:t>
            </w: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9"/>
              </w:rPr>
              <w:t>Guarantees by RGA of the Preferred Securities of RGA Capital Trust III and RGA</w:t>
            </w: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Capital Trust IV(7)(8)</w:t>
            </w:r>
          </w:p>
        </w:tc>
        <w:tc>
          <w:tcPr>
            <w:tcW w:w="4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8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of 1933, as amended, the registrant is deferring payment of all of the registration fee.</w:t>
      </w:r>
    </w:p>
    <w:p>
      <w:pPr>
        <w:ind w:left="460" w:right="1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such indeterminate number of shares of common stock and preferred stock of Reinsurance Group of America, Incorporated (“RGA”), such indeterminate number or amount of depositary shares, warrants, purchase contracts and units of RGA, such indeterminate principal amount of debt securities of RGA, and such indeterminate number of shares of preferred securities (“preferred securities”) of RGA Capital Trust III and RGA Capital Trust IV (the “RGA trusts”) as may from time to time be issued by RGA or the RGA trusts at indeterminate prices. Debt securities of RGA may be issued and sold to the RGA Trusts, in which event such debt securities may later be distributed to the holders of preferred securities of the RGA Trusts upon a dissolution of any such RGA Trust and the distribution of the assets thereof.</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Also includes such indeterminate number of shares of preferred stock and common stock or amount of debt securities as may be issued upon conversion of or exchange for any debt securities or preferred stock that provide for conversion into or exchange for other securities. Also consists of such indeterminate number of shares of common stock or preferred stock, depositary shares or other securities of RGA to be issuable by RGA upon settlement of the warrants, purchase contracts or units of RGA. Debt securities of RGA may be issued and sold to the RGA trusts, in which event such debt securities may later be distributed to the holders of preferred securities of the RGA trusts upon a dissolution of any such RGA trust and the distribution of the assets thereof.</w:t>
      </w:r>
    </w:p>
    <w:p>
      <w:pPr>
        <w:spacing w:after="0" w:line="2"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being registered hereunder an indeterminate amount and number of warrants, representing rights to purchase debt securities, common stock or preferred stock registered hereunder.</w:t>
      </w:r>
    </w:p>
    <w:p>
      <w:pPr>
        <w:ind w:left="460" w:right="20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purchase contract of the registrant obligates the registrant to sell, and the holder thereof to purchase, an indeterminate number of debt securities, shares of common stock, preferred stock, depositary shares or warrants of RGA or preferred securities of an RGA Trust.</w:t>
      </w:r>
    </w:p>
    <w:p>
      <w:pPr>
        <w:ind w:left="460" w:right="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consists of any combination of two or more of the securities being registered hereby or debt obligations of third parties, such as U.S. Treasury securities.</w:t>
      </w: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the rights of holders of the preferred securities under the guarantees of preferred securities and back-up undertakings, consisting of obligations of RGA to provide certain indemnities in respect of, and pay and be responsible for, certain expenses, costs, liabilities and debts of, as applicable, the RGA trusts as set forth in the indenture and any applicable supplemental indentures thereto and the debt securities issued to the RGA trusts, in each case as further described in the registration 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guarantees or any back-up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Reinsurance Group of America, Incorporated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16600 Swingley Ridge Road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Chesterfield, Missouri 63017-1706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(636) 736-7000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 Preferred Stock, Depositary Shares,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 Warrants and Units</w:t>
      </w:r>
    </w:p>
    <w:p>
      <w:pPr>
        <w:spacing w:after="0" w:line="90"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RGA Capital Trust III</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RGA Capital Trust IV</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Securities Fully, Irrevocably and Unconditionally Guaranteed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a Subordinated Basis as described in this Document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Reinsurance Group of America,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Reinsurance Group of America, Incorporated and RGA Capital Trust III and RGA Capital Trust IV may offer the securities listed above, including units consisting of any two or more of such securities, from time to time.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RGA, RGA Capital Trust III or RGA Capital Trust IV decide to sell a particular series of securities, we will prepare a prospectus supplement or other offering material describing those securities. You should read this prospectus, any prospectus supplement and any other offering material carefully before you invest. This prospectus may not be used to offer or sell any securities by us or, where required, by any selling security holders, unless accompanied by a prospectus supplement and any applicable other offering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8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these securities involves risks. Consider carefully the </w:t>
      </w:r>
      <w:hyperlink w:anchor="page5">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u w:val="single" w:color="auto"/>
            <w:color w:val="auto"/>
          </w:rPr>
          <w:t xml:space="preserve"> </w:t>
        </w:r>
      </w:hyperlink>
      <w:r>
        <w:rPr>
          <w:rFonts w:ascii="Arial" w:cs="Arial" w:eastAsia="Arial" w:hAnsi="Arial"/>
          <w:sz w:val="21"/>
          <w:szCs w:val="21"/>
          <w:b w:val="1"/>
          <w:bCs w:val="1"/>
          <w:color w:val="auto"/>
        </w:rPr>
        <w:t>on page 1 of this prospectus.</w:t>
      </w:r>
    </w:p>
    <w:p>
      <w:pPr>
        <w:spacing w:after="0" w:line="23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or any selling security holders may offer or sell these securities to or through one or more underwriters, dealers and agents, or through a combination of any of these methods, or directly to purchasers, on a continuous or delayed basis. The details of any such offering and the plan of distribution will be set forth in a prospectus supplement for such offering.</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“RGA”. As of May 22, 2017, the closing price of our common stock was $125.20.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24, 2017.</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4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Risk Factors</w:t>
              </w:r>
            </w:hyperlink>
          </w:p>
        </w:tc>
        <w:tc>
          <w:tcPr>
            <w:tcW w:w="10140" w:type="dxa"/>
            <w:vAlign w:val="bottom"/>
            <w:gridSpan w:val="22"/>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920" w:type="dxa"/>
            <w:vAlign w:val="bottom"/>
            <w:tcBorders>
              <w:bottom w:val="single" w:sz="8" w:color="0000EE"/>
            </w:tcBorders>
            <w:gridSpan w:val="2"/>
            <w:vMerge w:val="continue"/>
          </w:tcPr>
          <w:p>
            <w:pPr>
              <w:spacing w:after="0"/>
              <w:rPr>
                <w:sz w:val="13"/>
                <w:szCs w:val="13"/>
                <w:color w:val="auto"/>
              </w:rPr>
            </w:pPr>
          </w:p>
        </w:tc>
        <w:tc>
          <w:tcPr>
            <w:tcW w:w="1014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6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81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Incorporation of Certain Documents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Cautionary Statement Regarding Forward-Looking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Information About RGA</w:t>
              </w:r>
            </w:hyperlink>
          </w:p>
        </w:tc>
        <w:tc>
          <w:tcPr>
            <w:tcW w:w="2720" w:type="dxa"/>
            <w:vAlign w:val="bottom"/>
            <w:tcBorders>
              <w:top w:val="single" w:sz="8" w:color="0000EE"/>
            </w:tcBorders>
            <w:gridSpan w:val="12"/>
          </w:tcPr>
          <w:p>
            <w:pPr>
              <w:spacing w:after="0"/>
              <w:rPr>
                <w:sz w:val="17"/>
                <w:szCs w:val="17"/>
                <w:color w:val="auto"/>
              </w:rPr>
            </w:pPr>
          </w:p>
        </w:tc>
        <w:tc>
          <w:tcPr>
            <w:tcW w:w="65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About the RGA Trusts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7"/>
          </w:tcPr>
          <w:p>
            <w:pPr>
              <w:spacing w:after="0"/>
              <w:rPr>
                <w:sz w:val="17"/>
                <w:szCs w:val="17"/>
                <w:color w:val="auto"/>
              </w:rPr>
            </w:pPr>
          </w:p>
        </w:tc>
        <w:tc>
          <w:tcPr>
            <w:tcW w:w="85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Selling Security Holders</w:t>
              </w:r>
            </w:hyperlink>
          </w:p>
        </w:tc>
        <w:tc>
          <w:tcPr>
            <w:tcW w:w="92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Ratio of Earnings to Fixed Charges and Ratio of Combined Fixed Charges and Preference Dividends to Earnings</w:t>
              </w:r>
            </w:hyperlink>
          </w:p>
        </w:tc>
        <w:tc>
          <w:tcPr>
            <w:tcW w:w="29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Securities We May Offer</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Debt Securities of RGA</w:t>
              </w:r>
            </w:hyperlink>
          </w:p>
        </w:tc>
        <w:tc>
          <w:tcPr>
            <w:tcW w:w="320" w:type="dxa"/>
            <w:vAlign w:val="bottom"/>
            <w:tcBorders>
              <w:top w:val="single" w:sz="8" w:color="0000EE"/>
            </w:tcBorders>
            <w:gridSpan w:val="4"/>
          </w:tcPr>
          <w:p>
            <w:pPr>
              <w:spacing w:after="0"/>
              <w:rPr>
                <w:sz w:val="17"/>
                <w:szCs w:val="17"/>
                <w:color w:val="auto"/>
              </w:rPr>
            </w:pPr>
          </w:p>
        </w:tc>
        <w:tc>
          <w:tcPr>
            <w:tcW w:w="79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 of RGA</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Depositary Shares of RGA</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Description of Warrants of RGA</w:t>
              </w:r>
            </w:hyperlink>
          </w:p>
        </w:tc>
        <w:tc>
          <w:tcPr>
            <w:tcW w:w="660" w:type="dxa"/>
            <w:vAlign w:val="bottom"/>
            <w:tcBorders>
              <w:top w:val="single" w:sz="8" w:color="0000EE"/>
            </w:tcBorders>
            <w:gridSpan w:val="5"/>
          </w:tcPr>
          <w:p>
            <w:pPr>
              <w:spacing w:after="0"/>
              <w:rPr>
                <w:sz w:val="17"/>
                <w:szCs w:val="17"/>
                <w:color w:val="auto"/>
              </w:rPr>
            </w:pPr>
          </w:p>
        </w:tc>
        <w:tc>
          <w:tcPr>
            <w:tcW w:w="804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Description of Purchase Contracts of RGA</w:t>
              </w:r>
            </w:hyperlink>
          </w:p>
        </w:tc>
        <w:tc>
          <w:tcPr>
            <w:tcW w:w="79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Description of Units</w:t>
              </w:r>
            </w:hyperlink>
          </w:p>
        </w:tc>
        <w:tc>
          <w:tcPr>
            <w:tcW w:w="95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Preferred Securities of the RGA Trusts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40" w:type="dxa"/>
            <w:vAlign w:val="bottom"/>
            <w:gridSpan w:val="1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the Preferred Securities Guarantees of RGA</w:t>
              </w:r>
            </w:hyperlink>
          </w:p>
        </w:tc>
        <w:tc>
          <w:tcPr>
            <w:tcW w:w="68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Effect of Obligations Under the Junior Subordinated Debt Securities and the Preferred Securities Guarantees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Plan of Distribution</w:t>
              </w:r>
            </w:hyperlink>
          </w:p>
        </w:tc>
        <w:tc>
          <w:tcPr>
            <w:tcW w:w="6380" w:type="dxa"/>
            <w:vAlign w:val="bottom"/>
            <w:tcBorders>
              <w:top w:val="single" w:sz="8" w:color="0000EE"/>
            </w:tcBorders>
            <w:gridSpan w:val="17"/>
          </w:tcPr>
          <w:p>
            <w:pPr>
              <w:spacing w:after="0"/>
              <w:rPr>
                <w:sz w:val="17"/>
                <w:szCs w:val="17"/>
                <w:color w:val="auto"/>
              </w:rPr>
            </w:pPr>
          </w:p>
        </w:tc>
        <w:tc>
          <w:tcPr>
            <w:tcW w:w="32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Legal Matters</w:t>
              </w:r>
            </w:hyperlink>
          </w:p>
        </w:tc>
        <w:tc>
          <w:tcPr>
            <w:tcW w:w="1004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Experts</w:t>
              </w:r>
            </w:hyperlink>
          </w:p>
        </w:tc>
        <w:tc>
          <w:tcPr>
            <w:tcW w:w="1050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2016, which is incorporated by reference into this prospectus. These risk factors may be amended, supplemented or superseded from time to time by other reports we file with the Securities and Exchange Commission, which we refer to as the “SEC,”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this prospectus, “we,” “us,” “our,” the “Company” and “RGA” refer to Reinsurance Group of America, Incorporated and its subsidiaries, on a consolidated basis (but excluding the RGA trusts), unless we state or the context implies otherwise, including, without limitation, with respect to descriptions of the notes or their terms or provisions (which are obligations of Reinsurance Group of America, Incorporated but not any of its subsidiaries).</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This prospectus is part of a registration statement that we and RGA Capital Trust III and RGA Capital Trust IV, which we refer to as the “RGA trusts,” filed with the SEC, utilizing a “shelf” registration process. Under this shelf process, we, any RGA trust or selling security holder may, from time to time, sell any combination of the securities described in this prospectus in one or more offerings.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any RGA trust or selling security holder may offer. Each time RGA, any RGA trust or selling security holder sells securities, we will provide a prospectus supplement containing specific information about the terms of the securities being offered. A prospectus supplement may include a discussion of any risk factors or other specific considerations applicable to those securities or to us. A prospectus supplement may also add, update or change information in this prospectus. If there is any inconsistency between the information in this prospectus and the applicable prospectus supplement, you should rely on the information in the prospectus supplement. You should read both this prospectus and any prospectus supplement, the documents incorporated by reference therein as described under “Incorporation of Certain Documents by Reference” and additional information described under the heading “Where You Can Find More Information.”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offering the securities in any state or jurisdiction where the offer is prohibited.</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You should rely only on the information provided in this prospectus, in any prospectus supplement and in any other offering material, including the information incorporated by reference in this prospectus and any prospectus supplement. We have not, and the RGA trusts and the selling security holders have not, authorized anyone to provide you with different information. You should not assume that the information in this prospectus, any supplement to this prospectus, or any other offering material is accurate at any date other than the date indicated on the cover page of these documents.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RGA is subject to the informational requirements of the Securities Exchange Act of 1934. As a result, RGA files annual, quarterly and special reports, proxy statements and other information with the SEC. Here are ways you can review and obtain copies of this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What is Available</w:t>
            </w:r>
          </w:p>
        </w:tc>
        <w:tc>
          <w:tcPr>
            <w:tcW w:w="5360" w:type="dxa"/>
            <w:vAlign w:val="bottom"/>
          </w:tcPr>
          <w:p>
            <w:pPr>
              <w:ind w:left="2200"/>
              <w:spacing w:after="0"/>
              <w:rPr>
                <w:sz w:val="20"/>
                <w:szCs w:val="20"/>
                <w:color w:val="auto"/>
              </w:rPr>
            </w:pPr>
            <w:r>
              <w:rPr>
                <w:rFonts w:ascii="Arial" w:cs="Arial" w:eastAsia="Arial" w:hAnsi="Arial"/>
                <w:sz w:val="14"/>
                <w:szCs w:val="14"/>
                <w:b w:val="1"/>
                <w:bCs w:val="1"/>
                <w:color w:val="auto"/>
              </w:rPr>
              <w:t>Where to Get it</w:t>
            </w:r>
          </w:p>
        </w:tc>
      </w:tr>
      <w:tr>
        <w:trPr>
          <w:trHeight w:val="195"/>
        </w:trPr>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Paper copies of</w:t>
            </w:r>
          </w:p>
        </w:tc>
        <w:tc>
          <w:tcPr>
            <w:tcW w:w="4960" w:type="dxa"/>
            <w:vAlign w:val="bottom"/>
          </w:tcPr>
          <w:p>
            <w:pPr>
              <w:ind w:left="60"/>
              <w:spacing w:after="0" w:line="195" w:lineRule="exact"/>
              <w:rPr>
                <w:sz w:val="20"/>
                <w:szCs w:val="20"/>
                <w:color w:val="auto"/>
              </w:rPr>
            </w:pPr>
            <w:r>
              <w:rPr>
                <w:rFonts w:ascii="Arial" w:cs="Arial" w:eastAsia="Arial" w:hAnsi="Arial"/>
                <w:sz w:val="18"/>
                <w:szCs w:val="18"/>
                <w:color w:val="auto"/>
              </w:rPr>
              <w:t>information</w:t>
            </w: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SEC’s Public Reference Room</w:t>
            </w:r>
          </w:p>
        </w:tc>
      </w:tr>
      <w:tr>
        <w:trPr>
          <w:trHeight w:val="216"/>
        </w:trPr>
        <w:tc>
          <w:tcPr>
            <w:tcW w:w="1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100 F Street, N.E.</w:t>
            </w:r>
          </w:p>
        </w:tc>
      </w:tr>
      <w:tr>
        <w:trPr>
          <w:trHeight w:val="230"/>
        </w:trPr>
        <w:tc>
          <w:tcPr>
            <w:tcW w:w="11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Washington, D.C. 20549</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On-line information, free of charge</w:t>
            </w:r>
          </w:p>
        </w:tc>
        <w:tc>
          <w:tcPr>
            <w:tcW w:w="5360" w:type="dxa"/>
            <w:vAlign w:val="bottom"/>
          </w:tcPr>
          <w:p>
            <w:pPr>
              <w:spacing w:after="0"/>
              <w:rPr>
                <w:sz w:val="20"/>
                <w:szCs w:val="20"/>
                <w:color w:val="auto"/>
              </w:rPr>
            </w:pPr>
            <w:r>
              <w:rPr>
                <w:rFonts w:ascii="Arial" w:cs="Arial" w:eastAsia="Arial" w:hAnsi="Arial"/>
                <w:sz w:val="18"/>
                <w:szCs w:val="18"/>
                <w:color w:val="auto"/>
              </w:rPr>
              <w:t xml:space="preserve">SEC’s Internet website at </w:t>
            </w:r>
            <w:r>
              <w:rPr>
                <w:rFonts w:ascii="Arial" w:cs="Arial" w:eastAsia="Arial" w:hAnsi="Arial"/>
                <w:sz w:val="18"/>
                <w:szCs w:val="18"/>
                <w:i w:val="1"/>
                <w:iCs w:val="1"/>
                <w:color w:val="auto"/>
              </w:rPr>
              <w:t>http://www.sec.gov</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Information about the SEC’s Public Reference Rooms</w:t>
            </w:r>
          </w:p>
        </w:tc>
        <w:tc>
          <w:tcPr>
            <w:tcW w:w="5360" w:type="dxa"/>
            <w:vAlign w:val="bottom"/>
          </w:tcPr>
          <w:p>
            <w:pPr>
              <w:spacing w:after="0"/>
              <w:rPr>
                <w:sz w:val="20"/>
                <w:szCs w:val="20"/>
                <w:color w:val="auto"/>
              </w:rPr>
            </w:pPr>
            <w:r>
              <w:rPr>
                <w:rFonts w:ascii="Arial" w:cs="Arial" w:eastAsia="Arial" w:hAnsi="Arial"/>
                <w:sz w:val="18"/>
                <w:szCs w:val="18"/>
                <w:color w:val="auto"/>
              </w:rPr>
              <w:t>Call the SEC at 1-800-SEC-0330</w:t>
            </w:r>
          </w:p>
        </w:tc>
      </w:tr>
    </w:tbl>
    <w:p>
      <w:pPr>
        <w:spacing w:after="0" w:line="20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We and the RGA trusts have filed with the SEC a registration statement under the Securities Act of 1933, which we refer to as the “Securities Act,” that registers the distribution of these securities. The registration statement, including the attached exhibits and schedules, contains additional relevant information about us and the securities. The rules and regulations of the SEC allow us to omit certain information included in the registration statement from this prospectus. You can get a copy of the registration statement, at prescribed rates, from the sources listed above. The registration statement and the documents referred to below under “Incorporation of Certain Documents by Reference” are also available on our Internet website, </w:t>
      </w:r>
      <w:r>
        <w:rPr>
          <w:rFonts w:ascii="Arial" w:cs="Arial" w:eastAsia="Arial" w:hAnsi="Arial"/>
          <w:sz w:val="16"/>
          <w:szCs w:val="16"/>
          <w:i w:val="1"/>
          <w:iCs w:val="1"/>
          <w:color w:val="auto"/>
        </w:rPr>
        <w:t>http://www.rgare.com</w:t>
      </w:r>
      <w:r>
        <w:rPr>
          <w:rFonts w:ascii="Arial" w:cs="Arial" w:eastAsia="Arial" w:hAnsi="Arial"/>
          <w:sz w:val="16"/>
          <w:szCs w:val="16"/>
          <w:color w:val="auto"/>
        </w:rPr>
        <w:t>, under “Investors — Financial Information.” Information contained in our Internet website does not constitute a part of this prospectus.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except for any information that is superseded by other information that is included in or incorporated by reference into this document.</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SEC (File No. 1-11848). These documents contain important information about us.</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2017.</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May 15, 2017, May 19, 2017 and May 24, 2017 (other than the portions of those documents not deemed to be filed).</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dated November 17, 2008, including any other amendments or reports filed for the purpose of updating such description.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incorporate by reference any additional documents that we may file with the SEC under Section 13(a), 13(c), 14 or 15(d) of the Securities Exchange Act of 1934 (other than those made pursuant to Item 2.02 or Item 7.01 of Form 8-K or other information “furnished” to the SEC) on or after the date of this prospectus, and the termination of the offering of the securities.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purposes of the registration statement of which this prospectus is a part, any statement contained in a document incorporated or deemed to be incorporated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spacing w:after="0" w:line="18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You can obtain any of the documents incorporated by reference in this prospectus from the SEC on its website (http://www.sec.gov). You can also obtain these documents from us, without charge (other than exhibits, unless the exhibits are specifically incorporated by reference), by requesting them in writing or by telephone at the following address: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Reinsurance Group of America,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16600 Swingley Ridge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Chesterfield, Missouri 63017-1706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580" w:hanging="428"/>
        <w:spacing w:after="0"/>
        <w:tabs>
          <w:tab w:leader="none" w:pos="5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736-7000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document and the documents incorporated by reference into this document contain both historical and forward-looking statements. Forward-looking statements are not based on historical facts, but rather reflect our current expectations, estimates and projections concerning future results and events. Forward-looking statements generally can be identified by the fact that they do not relate strictly to historical or current facts and include, without limitation, words such as “believe,” “expect,” “anticipate,” “may,” “could,” “intend,” “intent,” “belief,” “estimate,” “plan,” “project,” “predict.” “should,” “foresee,” “likely,” “will” or other similar words or phrases. These forward-looking statements are not guarantees of future performance and involve known and unknown risks, uncertainties, assumptions and other factors that are difficult to predict and that may cause our actual results, performance or achievements to vary materially from what is expressed in or indicated by such forward-looking statements. We cannot make any assurance that projected results or events will be achieved.</w:t>
      </w:r>
    </w:p>
    <w:p>
      <w:pPr>
        <w:spacing w:after="0" w:line="19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risk factors set forth or incorporated by reference in the section entitled “Risk Factors” in this document, and the matters discussed in RGA’s SEC filings, including the “Management’s Discussion and Analysis of Financial Condition and Results of Operations” sections of our most recent Annual Report on Form 10-K and our subsequent Quarterly Reports on Form 10-Q and Current Reports on Form 8-K, which reports are incorporated by reference in this document, among others, could affect future results, causing these results to differ materially from those expressed in our forward-looking statements.</w:t>
      </w:r>
    </w:p>
    <w:p>
      <w:pPr>
        <w:spacing w:after="0" w:line="154"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forward-looking statements included and incorporated by reference in this document are only made as of the date of this document or the respective documents incorporated by reference herein, as applicable, and we disclaim any obligation to publicly update any forward-looking statement to reflect subsequent events or circumstances, unless we are obligated to do so under federal securities 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and “Where You Can Find More Information.”</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Numerous important factors could cause actual results and events to differ materially from those expressed or implied by forward-looking statements including, without limitation:</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capital and credit market conditions and their impact on our liquidity, access to capital and cost of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impairment of other financial institutions and its effect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requirements to post collateral or make payments due to declines in market value of assets subject to our collateral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the determination of allowances and impairments taken on our investments is highly subjective;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mortality, morbidity, lapsation or claims experience;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financial strength and credit ratings and the effect of such changes on our future results of operations and financial condition;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inadequate risk analysis and underwriting;</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or a prolonged economic downturn affecting the demand for insurance and reinsurance in our current and planned markets;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collateral necessary for regulatory reserves and capital;</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or economic conditions that adversely affect the value of our investment securities or result in the impairment of all or a portion of the value of certain of our investment securities, that in turn could affect regulatory capital;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or economic conditions that adversely affect our ability to make timely sales of investment securities;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inherent in our risk management and investment strategy, including changes in investment portfolio yields due to interest rate or credit quality changes;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U.S. or foreign currency exchange rates, interest rates, or securities and real estate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adequacy of reserves, resources and accurate information relating to settlements, awards and terminated and discontinued lines of business;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stability of and actions by governments and economies in the markets in which we operate, including ongoing uncertainties regarding the amount of U.S. sovereign debt and the credit ratings thereof;</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factors and competitors’ responses to our initiatives;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our entry into new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development and introduction of new products and distribution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acquired blocks of business and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 by regulators who have authority over our reinsurance operations in the jurisdictions in which we operate;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those insurance companies and reinsurers to which we cede some reinsurance, third-party investment managers and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threat of natural disasters, catastrophes, terrorist attacks, epidemics or pandemics anywhere in the world where we or our clients do business;</w:t>
      </w:r>
    </w:p>
    <w:p>
      <w:pPr>
        <w:spacing w:after="0" w:line="153"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interruption or failure of our telecommunication, information technology or other operational systems, or our failure to maintain adequate security to protect the confidentiality or privacy of personal or sensitive data stored on such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regulations, and accounting standards applicable to RGA, our subsidiaries, or our business;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our status as an insurance holding company and regulatory restrictions on our ability to pay principal of and interest on our debt obligations;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uncertainties described in this document, including under the caption “Risk Factors” and in our other filings with the SEC.</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RGA</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an insurance holding company that was formed on December 31, 1992. We have grown to become a leading global provider of traditional and non-traditional life and health reinsurance with operations in the United States, Latin America, Canada, Europe, Africa, Asia and Australia. Through our operating subsidiaries, we are engaged in traditional reinsurance, including individual and group life and health, disability, and critical illness reinsurance, and non-traditional reinsurance, including longevity reinsurance, asset-intensive reinsurance, and financial reinsurance. Through a predecessor, we have been engaged in the business of life reinsurance since 1973. At March 31, 2017, we had consolidated assets of approximately $53.8 billion, stockholders’ equity of $7.4 billion and assumed reinsurance in force of approximately $3.1 trillion.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 is located at 16600 Swingley Ridge Road, Chesterfield, Missouri 63017-1706, and our telephone number is (636) 736-7000.</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the RGA trusts, or the selling security holders may offer. Each time we or either of the RGA trusts sell securities, we will provide and, in the case of the selling security holders, we may provide, a prospectus supplement or other offering material that will contain specific information about the terms of that offering. We will file each prospectus supplement with the SEC. The prospectus supplement or other offering material may also add, update or supplement information contained in this prospectus. You should read both this prospectus, any prospectus supplement and any other offering material, together with additional information described under the heading “Where You Can Find More Information” on page 2.</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RGA TRUSTS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RGA trusts is a statutory trust formed under Delaware law. Each RGA trust exists for the exclusive purposes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issuing and selling its preferred securities and common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using the proceeds from the sale of its preferred securities and common securities to acquire RGA’s junior subordinated debt securities;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engaging in only those other activities that are related to those purposes.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All of the common securities of each trust will be directly or indirectly owned by RGA. The common securities will rank equally, and payments will be made proportionally, with the preferred securities. However, if an event of default under the amended and restated trust agreement of the respective RGA trust has occurred and is continuing, the cash distributions and liquidation, redemption and other amounts payable on the common securities will be subordinated to the preferred securities in right of payment. We will directly or indirectly acquire common securities in an amount equal to at least 3% of the total capital of each RGA trust. The preferred securities will represent the remaining 97% of such trusts’ capital.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RGA will guarantee the preferred securities of each RGA trust as described later in this prospectus.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otherwise specified in the applicable prospectus supplement or other offering material, each RGA trust has a term of up to 55 years but may terminate earlier, as provided in its amended and restated trust agreement. Each RGA trust’s business and affairs will be conducted by the trustees appointed by us. According to the amended and restated trust agreement of each RGA trust, as the holder of all of the common securities of an RGA trust, we can increase or decrease the number of trustees of each trust, subject to the requirement under Delaware law that there be a trustee in the State of Delaware and to the provisions of the Trust Indenture Act of 1939 (the “Trust Indenture Act”). The amended and restated trust agreement will set forth the duties and obligations of the trustees. A majority of the trustees of each RGA trust will be employees or officers of or persons who are affiliated with RGA, whom we refer to as “administrative trustees.”</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One trustee of each RGA trust will be an institution, which we refer to as the “property trustee,” that is not affiliated with RGA and has a minimum amount of combined capital and surplus of not less than $50,000,000, which will act as property trustee and as indenture trustee for the purposes of compliance with the provisions of the Trust Indenture Act, under the terms of the applicable prospectus supplement. Unless otherwise indicated in the applicable prospectus supplement, the property trustee will maintain exclusive control of a segregated, non-interest bearing “payment account” established with The Bank of New York Mellon Trust Company, N.A. to hold all payments made on the junior subordinated debt securities for the benefit of the holders of the trust securities of each RGA trust. In addition, unless the property trustee maintains a principal place of business in the State of Delaware and otherwise meets the requirements of applicable law, one trustee of each RGA trust will be an institution having a principal place of business in, or a natural person resident of, the State of Delaware, which we refer to as the “Delaware trustee.” As the direct or indirect holder of all of the common securities, RGA will be entitled to appoint, remove or replace any of, or increase or reduce the number of, the trustees of each RGA trust, except that if an event of default under the junior subordinated indenture has occurred and is continuing, only the holders of preferred securities may remove the Delaware trustee or the property trustee. RGA will pay all fees and expenses related to the RGA trust and the offering of the preferred securities and the common securities.</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Unless otherwise specified in the applicable prospectus supplement or other offering material, the property trustee for each RGA trust will be The Bank of New York Mellon Trust Company, N.A. Unless otherwise specified in the applicable prospectus supplement, the Delaware trustee for each RGA trust will be BNY Mellon Trust of Delaware, an affiliate of The Bank of New York Mellon Trust Company, N.A., and its address in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state of Delaware is Bellevue Park Corporate Center, 301 Bellevue Parkway, 3</w:t>
      </w:r>
      <w:r>
        <w:rPr>
          <w:rFonts w:ascii="Arial" w:cs="Arial" w:eastAsia="Arial" w:hAnsi="Arial"/>
          <w:sz w:val="13"/>
          <w:szCs w:val="13"/>
          <w:color w:val="auto"/>
        </w:rPr>
        <w:t>rd</w:t>
      </w:r>
      <w:r>
        <w:rPr>
          <w:rFonts w:ascii="Arial" w:cs="Arial" w:eastAsia="Arial" w:hAnsi="Arial"/>
          <w:sz w:val="16"/>
          <w:szCs w:val="16"/>
          <w:color w:val="auto"/>
        </w:rPr>
        <w:t xml:space="preserve"> Floor, Wilmington, Delaware 19809. The principal place of business of each RGA trust is c/o Reinsurance Group of America, Incorporated, 16600 Swingley Ridge Road, Chesterfield, Missouri 63017-1706, telephone (636) 736-7000.</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RGA trusts will not have separate financial statements. The statements would not be material to holders of the preferred securities because the trusts will not have any independent operations. Each of the trusts exists solely for the reasons provided in the amended and restated trust agreement and summarized above. Unless otherwise provided in the applicable prospectus supplement or other offering material, RGA will pay all fees and expenses related to each RGA trust and the offering of its preferred securities, including the fees and expenses of the trustee.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Unless otherwise stated in the prospectus supplement or other offering material, we will use the net proceeds from the sale of any securities offered by RGA for general corporate purposes, including the funding of our reinsurance operations. Except as otherwise described in a prospectus supplement or other offering material, the proceeds from the sale by any RGA trust of any preferred securities, together with any capital contributed in respect of common securities, will be loaned to RGA in exchange for RGA’s junior subordinated debt securities. Unless otherwise stated in the prospectus supplement or other offering material, we will use the borrowings from the RGA trusts for general corporate purposes, including the funding of our reinsurance operations. Such general corporate purposes may include, but are not limited to, repayments of our indebtedness or the indebtedness of our subsidiaries. Pending such use, the proceeds may be invested temporarily in short-term, interest-bearing, investment-grade securities or similar assets. The prospectus supplement or other offering material relating to an offering will contain a more detailed description of the use of proceeds of any specific offering of securities. Except as may otherwise be specified in the applicable prospectus supplement, we will not receive any proceeds from any sales of securities by any selling security holder.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may register securities covered by this prospectus for re-offers and resales by any selling security holders to be named in a prospectus supplement. Because we are a well-known seasoned issuer, as defined in Rule 405 of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such security holder’s securities at any time and from time to time. Selling security holders may also sell, transfer or otherwise dispose of some or all of their securities in transactions exempt from the registration requirements of the Securities Act. We do not know when or in what amounts any selling security holders may offer securities for sale under this prospectus and any prospectus supplement. We may pay some or all expenses incurred with respect to the registration of the securities owned by the selling security holders. We will provide a prospectus supplement naming any selling security holders, the amount of securities to be registered and sold and any other terms of securities being sold by each selling security holder.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COMBINED FIXED CHARGES AND PREFERENCE DIVIDENDS TO EARNINGS</w:t>
      </w:r>
    </w:p>
    <w:p>
      <w:pPr>
        <w:spacing w:after="0" w:line="21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sets forth our ratios of earnings to fixed charges and earnings to fixed charges, excluding interest credited under reinsurance contracts, for the periods indicated.</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For purposes of computing the consolidated ratio of earnings to fixed charges, earnings consist of net earnings from continuing operations adjusted for the provision for income taxes and fixed charges. Fixed charges consist of interest and discount on all indebtedness, distribution requirements of wholly-owned subsidiary trust preferred securities and floating rate insured notes and one-third of annual rentals, which we believe is a reasonable approximation of the interest factor of such rentals. We have not paid a preference security dividend for any of the periods presented and accordingly have not separately shown the ratio of combined fixed charges and preference dividends to earnings for these periods.</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information below regarding RGA’s ratio of earnings to fixed charges excluding interest credited under reinsurance contracts is not required; however, we believe it provides useful information on the coverage of fixed charges that are not related to our products.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vMerge w:val="restart"/>
          </w:tcPr>
          <w:p>
            <w:pPr>
              <w:jc w:val="right"/>
              <w:ind w:right="14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77"/>
        </w:trPr>
        <w:tc>
          <w:tcPr>
            <w:tcW w:w="76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gridSpan w:val="7"/>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52"/>
        </w:trPr>
        <w:tc>
          <w:tcPr>
            <w:tcW w:w="7620" w:type="dxa"/>
            <w:vAlign w:val="bottom"/>
          </w:tcPr>
          <w:p>
            <w:pPr>
              <w:spacing w:after="0"/>
              <w:rPr>
                <w:sz w:val="4"/>
                <w:szCs w:val="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4"/>
                <w:szCs w:val="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4"/>
                <w:szCs w:val="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Ratio of earnings to fixed charges excluding interest credited under reinsurance contracts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5.5</w:t>
            </w:r>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50"/>
        </w:trPr>
        <w:tc>
          <w:tcPr>
            <w:tcW w:w="7620" w:type="dxa"/>
            <w:vAlign w:val="bottom"/>
          </w:tcPr>
          <w:p>
            <w:pPr>
              <w:jc w:val="right"/>
              <w:ind w:right="177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SECURITIES WE MAY OFFER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any RGA trust, or any selling security holder may offer or sell from time to time, in one or more offerings, the following securities:</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exercisable for debt securities, common stock or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securities of an RGA trust that are guaranteed by RGA;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units consisting of two or more of such securities or debt obligations of third parties, such as U.S. treasury securities.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prospectus contains a summary of the material general terms of the various securities that we, any RGA trust, or any selling security holder may offer. The specific terms of the securities will be described in a prospectus supplement or other offering material, which may be in addition to or different from the general terms summarized in this prospectus. Where applicable, the prospectus supplement or other offering material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or other offering material do not contain all of the information or restate the agreements under which the securities may be issued and do not contain all of the information that you may find useful. We urge you to read the actual agreements relating to any securities because they, and not the summaries, define your rights as a holder of the securities. If you would like to read the agreements, they will be on file with the SEC, as described under “Where You Can Find More Information” on page 2 and “Incorporation of Certain Documents by Reference” on page 3.</w:t>
      </w:r>
    </w:p>
    <w:p>
      <w:pPr>
        <w:spacing w:after="0" w:line="18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terms of any offering, the initial offering price, the net proceeds to us and any other relevant provisions will be contained in the prospectus supplement or other offering material relating to such offering.</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DEBT SECURITIES OF RGA</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description of the terms of the debt securities sets forth the material terms and provisions of the debt securities to which any prospectus supplement or other offering material may relate. The particular terms of the debt securities offered by any prospectus supplement and the extent, if any, to which such general provisions may apply to the debt securities so offered and any changes to or differences from those general terms will be described in the prospectus supplement or other offering material relating to such debt securities. The debt securities will be either our senior debt securities or subordinated debt securities, or our junior subordinated debt securities, which may, but need not be, issued in connection with the issuance by an RGA trust of its trust preferred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senior and subordinated debt securities will be issued in one or more series under an Indenture dated as of August 21, 2012 between us and The Bank of New York Mellon Trust Company, N.A., as trustee. The junior subordinated debt securities will be issued in one or more series under a Junior Subordinated Indenture, to be entered into between us and The Bank of New York Mellon Trust Company, N.A., as trustee. The statements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herein relating to the debt securities and the indentures are summaries and are subject to, and are qualified in their entirety by reference to, the detailed provisions of the applicable indenture. Whenever we refer to particular sections or defined terms of the Indenture in this prospectus or in any prospectus supplement, those sections or defined terms are incorporated by reference here or in the applicable prospectus supplement. Reference is hereby made to the Indenture, which has been filed as an exhibit to the Current Report on Form 8-K filed on August 21, 2012 and incorporated by reference in this registration statement. The Indenture is, and the Junior Subordinated Indenture will be, subject to and governed by the Trust Indenture Act. The description of the indentures set forth below assumes that we have entered into both of the indentures. We will execute the Junior Subordinated Indenture when and if we issue junior subordinated debt securities.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indentures do not limit the aggregate amount of debt securities which we may issue. We may issue debt securities under the indentures up to the aggregate principal amount authorized by our board of directors from time to time. Except as may be described in a prospectus supplement or other offering material, the indentures will not limit the amount of other secured or unsecured debt that we may incur or issue.</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debt securities will be our unsecured general obligations. The senior debt securities will rank with all our other unsecured and unsubordinated obligations. The subordinated debt securities will be subordinated and junior in right of payment to all our present and future senior indebtedness to the extent and in the manner set forth in the applicable prospectus supplement or other offering material. Unless otherwise specified in the applicable prospectus supplement or other offering material, the junior subordinated debt securities that we may issue to one of the RGA trusts will be subordinated and junior in right of payment to all our present and future indebtedness, including any senior and subordinated debt securities issued under the indenture to the extent and in the manner set forth in the junior subordinated indenture. See “— Subordination,” beginning on page 17. The indentures will provide that the debt securities may be issued from time to time in one or more series. We may authorize the issuance and provide for the terms of a series of debt securities pursuant to a supplemental indenture.</w:t>
      </w:r>
    </w:p>
    <w:p>
      <w:pPr>
        <w:spacing w:after="0" w:line="179"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are a holding company. As a result, we may rely primarily on dividends or other payments from our operating subsidiaries to pay principal and interest on our outstanding debt obligations, and to make dividend distributions on our capital stock. The principal source of funds for these operating subsidiaries comes from their current operations. We can also utilize investment securities maintained in our portfolio for these payments.</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Applicable insurance regulatory and other legal restrictions limit the amount of dividends and other payments our subsidiaries can make to us. Our subsidiaries have no obligation to guarantee or otherwise pay amounts due under the debt securities. Therefore, the debt securities will be effectively subordinated to all indebtedness and other liabilities and commitments of our subsidiaries, including claims under reinsurance contracts, debt obligations and other liabilities incurred in the ordinary course of business. As of March 31, 2017, our consolidated short- and long-term indebtedness aggregated approximately $2.8 billion and our subsidiaries had approximately $42.2 billion of outstanding liabilities reflected in our financial statements, which includes $441.7 million of liabilities associated with the floating rate insured notes issued by our subsidiary, Timberlake Financial, L.L.C., $149.4 million of liabilities associated with the collateral financing obtained by our subsidiary, RGA Reinsurance Company (Barbados) Ltd. and $234.4 million of liabilities associated with the asset-backed notes issued by our subsidiary, Chesterfield Financial Holdings LLC. We will disclose material changes to these amounts in any prospectus supplement or other offering material relating to an offering of our debt securities. In the event of a default on any debt securities, the holders of the debt securities will have no right to proceed against the assets of any insurance subsidiary. If the subsidiary were to be liquidated, the liquidation would be conducted under the laws of the applicable jurisdiction. Our right to receive distributions of assets in any liquidation of a subsidiary would be subordinated to the claims of the subsidiary’s creditors, except to the extent any claims of ours as a creditor would be recognized. Any recognized claims of ours would be subordinated to any prior security interest held by any other creditors of the subsidiary and obligations of the subsidiary that are senior to those owing to us.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firstLine="456"/>
        <w:spacing w:after="0" w:line="342" w:lineRule="auto"/>
        <w:rPr>
          <w:sz w:val="20"/>
          <w:szCs w:val="20"/>
          <w:color w:val="auto"/>
        </w:rPr>
      </w:pPr>
      <w:r>
        <w:rPr>
          <w:rFonts w:ascii="Arial" w:cs="Arial" w:eastAsia="Arial" w:hAnsi="Arial"/>
          <w:sz w:val="16"/>
          <w:szCs w:val="16"/>
          <w:color w:val="auto"/>
        </w:rPr>
        <w:t>The applicable prospectus supplement or other offering material relating to the particular series of debt securities will describe specific terms of the debt securities offered thereby, including any terms that are additional or different from those described in this prospectus (Section 3.1 of each indenture).</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or other offering material, the debt securities will not be listed on any securities exchange.</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None of our shareholders, officers or directors, past, present or future, will have any personal liability with respect to our obligations under the indenture or the debt securities on account of that status. (Section 1.14 of each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and Denominations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or other offering material, debt securities will be issued only in fully registered form, without coupons, and will be denominated in U.S. dollars issued in denominations of U.S. $1,000 and any integral multiple thereof. (Section 3.2 of each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Debt Securities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Unless otherwise specified in a prospectus supplement or other offering material for a particular series of debt securities, each series of debt securities will be issued in whole or in part in global form that will be deposited with, or on behalf of, a depositary identified in the prospectus supplement or other offering material relating to that series. Global securities will be registered in the name of the depositary, which will be the sole direct holder of the global securities. Any person wishing to own a debt security must do so indirectly through an account with a broker, bank or other financial institution that, in turn, has an account with the depositary.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Special Investor Considerations for Global Securities. </w:t>
      </w:r>
      <w:r>
        <w:rPr>
          <w:rFonts w:ascii="Arial" w:cs="Arial" w:eastAsia="Arial" w:hAnsi="Arial"/>
          <w:sz w:val="18"/>
          <w:szCs w:val="18"/>
          <w:color w:val="auto"/>
        </w:rPr>
        <w:t>Under the terms of the indentures, our obligations with respect to the debt securities,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obligations of each trustee, run only to persons who are registered holders of debt securities. For example, once we make payment to the registered holder, we have no further responsibility for that payment even if the recipient is legally required to pass the payment along to an individual investor but fails to do so. As an indirect holder, an investor’s rights relating to a global security will be governed by the account rules of the investor’s financial institution and of the depositary, as well as general laws relating to transfers of debt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investor should be aware that when debt securities are issued in the form of global securities:</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investor cannot have debt securities registered in his or her own name;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investor cannot receive physical certificates for his or her debt securities;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investor must look to his or her bank or brokerage firm for payments on the debt securities and protection of his or her legal rights relating to the debt securities;</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investor may not be able to sell interests in the debt securities to some insurance or other institutions that are required by law to hold the physical certificates of debt that they own;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depositary’s policies will govern payments, transfers, exchanges and other matters relating to the investor’s interest in the global security;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will usually require that interests in a global security be purchased or sold within its system using same-day funds.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Neither we nor the trustees have any responsibility for any aspect of the depositary’s actions or for its records of ownership interests in the global security, and neither we nor the trustees supervise the depositary in any way.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i w:val="1"/>
          <w:iCs w:val="1"/>
          <w:color w:val="auto"/>
        </w:rPr>
        <w:t xml:space="preserve">Special Situations When the Global Security Will Be Terminated. </w:t>
      </w:r>
      <w:r>
        <w:rPr>
          <w:rFonts w:ascii="Arial" w:cs="Arial" w:eastAsia="Arial" w:hAnsi="Arial"/>
          <w:sz w:val="16"/>
          <w:szCs w:val="16"/>
          <w:color w:val="auto"/>
        </w:rPr>
        <w:t>In a few special situations described below, the global security will terminate,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the global security will be exchanged for physical certificates representing debt securities. After that exchange, the investor may choose whether to hold debt securities directly or indirectly through an account at the investor’s bank or brokerage firm. In that event, investors must consult their banks or brokers to find out how to have their interests in debt securities transferred to their own names so that they may become direct holders.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where a global security is terminated are:</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when the depositary notifies us that it is unwilling, unable or no longer qualified to continue as depositary, unless a replacement is named;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an event of default on the debt securities has occurred and has not been cured;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and if we decide to terminate a global security. (Section 3.4 of each indenture).</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 prospectus supplement or other offering material may list situations for terminating a global security that would apply only to a particular series of debt securities. When a global security terminates, the depositary, and not us or one of the trustees, is responsible for deciding the names of the institutions that will be the initial direct 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Securities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Debt securities may be sold at a substantial discount below their stated principal amount and may bear no interest or interest at a rate which at the time of issuance is below market rates. Important federal income tax consequences and special considerations applicable to any such debt securities will be described in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amount of payments of principal of, and premium, if any, or any interest on, debt securities of any series is determined with reference to any type of index or formula or changes in prices of particular securities or commodities, the federal income tax consequences, specific terms and other information with respect to such debt securities and such index or formula and securities or commodities will be described in the applicable prospectus supplement or other offering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principal of, and premium, if any, or any interest on, debt securities of any series are payable in a foreign or composite currency, the restrictions, elections, federal income tax consequences, specific terms and other information with respect to such debt securities and such currency will be described in the applicable prospectus supplement or other offering 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in the applicable prospectus supplement or other offering material, payments in respect of the debt securities will be made in the designated currency at the office or agency of RGA maintained for that purpose as RGA may designate from time to time, except that, at the option of RGA, interest payments, if any, on debt securities may be made by checks mailed to the holders of debt securities entitled thereto at their registered addresses. (Section 3.7 of each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Interest With Respect to Debt Securities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Unless otherwise indicated in an applicable prospectus supplement or other offering material, payment of any installment of interest on debt securities will be made to the person in whose name such debt security is registered at the close of business on the regular record date for such interest. (Section 3.7 of each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Unless otherwise indicated in the applicable prospectus supplement or other offering material, debt securities will be transferable or exchangeable at the agency of RGA maintained for such purpose as designated by RGA from time to time. Debt securities may be transferred or exchanged without service charge, other than any tax or other governmental charge imposed in connection with such transfer or exchange. (Section 3.5 of each indenture).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Sale of Assets and Other Transfers</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may not consolidate with or merge with or into or wind up into, whether or not we are the surviving corporation, or sell, assign, convey, transfer or lease substantially all of our properties and assets, in one transaction or a series of related transactions, to any person, unless:</w:t>
      </w:r>
    </w:p>
    <w:p>
      <w:pPr>
        <w:spacing w:after="0" w:line="52" w:lineRule="exact"/>
        <w:rPr>
          <w:sz w:val="20"/>
          <w:szCs w:val="20"/>
          <w:color w:val="auto"/>
        </w:rPr>
      </w:pPr>
    </w:p>
    <w:p>
      <w:pPr>
        <w:ind w:left="900" w:right="8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the surviving corporation or the surviving corporation or other person is organized and existing under the laws of the United States or one of the 50 states, any U.S. territory or the District of Columbia, and assumes the obligation to pay the principal of, and premium, if any, and interest on all the debt securities and to perform or observe all covenants of each indenture; and</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the transaction, there is no event of default, and no event which after notice or lapse of time, or both, would become an event of default, under each indenture. (Section 9.1 of each indenture).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Upon the consolidation, merger or sale, the successor corporation formed by the consolidation, or into which we are merged or to which the sale is made, will succeed to, and be substituted for us under each indenture. (Section 9.2 of each indenture).</w:t>
      </w:r>
    </w:p>
    <w:p>
      <w:pPr>
        <w:spacing w:after="0" w:line="170"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Unless a prospectus supplement or other offering material relating to a particular series of debt securities provides otherwise, the indenture and the terms of the debt securities will not contain any covenants designed to afford holders of any debt securities protection in a highly leveraged or other transaction involving us, whether or not resulting in a change of control, which may adversely affect holders of the debt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Extend Interest Payment Period</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indicated in the applicable prospectus supplement or other offering material, we will have the right, as long as no event of default under the applicable series of debt securities has occurred and is continuing, at any time and from time to time during the term of the series of debt securities to defer the payment of interest on one or more series of debt securities for the number of consecutive interest payment periods specified in the applicable prospectus supplement or other offering material, subject to the terms, conditions and covenants, if any, specified in the prospectus supplement or other offering material, provided that no extension period may extend beyond the stated maturity of the debt securities. Material United States federal income tax consequences and special considerations applicable to these debt securities will be described in the applicable prospectus supplement or other offering material. Unless otherwise indicated in the applicable prospectus supplement or other offering material, at the end of the extension period, we will pay all interest then accrued and unpaid together with interest on accrued and unpaid interest compounded semiannually at the rate specified for the debt securities to the extent permitted by applicable law. However, unless otherwise indicated in the applicable prospectus supplement or other offering material, during the extension period neither we nor any of our subsidiaries may:</w:t>
      </w:r>
    </w:p>
    <w:p>
      <w:pPr>
        <w:spacing w:after="0" w:line="83" w:lineRule="exact"/>
        <w:rPr>
          <w:sz w:val="20"/>
          <w:szCs w:val="20"/>
          <w:color w:val="auto"/>
        </w:rPr>
      </w:pPr>
    </w:p>
    <w:p>
      <w:pPr>
        <w:ind w:left="900" w:right="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declare or pay dividends on, make distributions regarding, or redeem, purchase, acquire or make a liquidation payment with respect to, any of our capital stock, other than:</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purchases of our capital stock in connection with any employee or agent benefit plans or the satisfaction of our obligations under any contract or security outstanding on the date of the event requiring us to purchase capital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firstLine="443"/>
        <w:spacing w:after="0" w:line="277" w:lineRule="auto"/>
        <w:tabs>
          <w:tab w:leader="none" w:pos="11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connection with the reclassifications of any class or series of our capital stock, or the exchange or conversion of one class or series of our capital stock for or into another class or series of our capital stock,</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purchase of fractional interests in shares of our capital stock in connection with the conversion or exchange provisions of that capital stock or the security being converted or exchanged,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dividends or distributions in our capital stock, or rights to acquire capital stock, or repurchases or redemptions of capital stock solely from the issuance or exchange of capital stock,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non-cash dividends declared in connection with the implementation of a shareholder rights plan by us;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payment of interest, principal or premium, if any, on or repay, repurchase or redeem any debt securities issued by us that rank equally with or junior to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any guarantee payments regarding the foregoing, other than payments under our guarantee of the preferred securities of any RGA trust; or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redeem, purchase or acquire less than all of the junior subordinated debt securities or any preferred securities of an RGA trust.</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Prior to the termination of any extension period, as long as no event of default under the applicable indenture has occurred and is continuing, we may further defer payments of interest, subject to the above limitations set forth in this section, by extending the interest payment period; provided, however, that, the extension period, including all previous and further extensions, may not extend beyond the maturity of the debt securities.</w:t>
      </w:r>
    </w:p>
    <w:p>
      <w:pPr>
        <w:spacing w:after="0" w:line="16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Upon the termination of any extension period and the payment of all amounts then due, we will have the right to commence a new extension period, subject to the above limitations set forth in this section. No interest will be payable during an extension period; instead, interest will only be due and payable at the end of the extension period. However, we will have the right to prepay at any time all or any portion of the interest accrued during an extension period. We do not currently intend to exercise our right to defer payments of interest by extending the interest payment period on the debt securities. In the case of our junior subordinated debt securities, if the property trustee is the sole holder of such debt securities, we will give the administrative trustees and the property trustee notice of our selection of an extension period two business days before the earlier of (1) the next succeeding date on which distributions on the preferred securities are payable or (2) the date the administrative trustees are required to give notice to the New York Stock Exchange, or other applicable self-regulatory organization, or to holders of the preferred securities of the record or payment date of the distribution, but in any event, at least one business day before such record date. The administrative trustees will give notice of our selection of the extension period to the holders of the preferred securities. If the property trustee is not the sole holder of such debt securities, or in the case of the senior and subordinated debt securities, we will give the holders of these debt securities notice of our selection of an extension period at least two business days before the earlier of (1) the next succeeding interest payment date or</w:t>
      </w:r>
    </w:p>
    <w:p>
      <w:pPr>
        <w:spacing w:after="0" w:line="5" w:lineRule="exact"/>
        <w:rPr>
          <w:sz w:val="20"/>
          <w:szCs w:val="20"/>
          <w:color w:val="auto"/>
        </w:rPr>
      </w:pPr>
    </w:p>
    <w:p>
      <w:pPr>
        <w:ind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upon which we are required to give notice to the New York Stock Exchange, or other applicable self-regulatory organization, or to holders of such debt securities of the record or payment date of the related interest payment. (Article XVII of the junior subordinated indenture).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Amendment of the Indentures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 xml:space="preserve">Supplemental Indentures Without Consent of Holders. </w:t>
      </w:r>
      <w:r>
        <w:rPr>
          <w:rFonts w:ascii="Arial" w:cs="Arial" w:eastAsia="Arial" w:hAnsi="Arial"/>
          <w:sz w:val="18"/>
          <w:szCs w:val="18"/>
          <w:color w:val="auto"/>
        </w:rPr>
        <w:t>Without the consent of any holders, we and the trustee may enter into one or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indentures for certain purposes, including:</w:t>
      </w:r>
    </w:p>
    <w:p>
      <w:pPr>
        <w:spacing w:after="0" w:line="62" w:lineRule="exact"/>
        <w:rPr>
          <w:sz w:val="20"/>
          <w:szCs w:val="20"/>
          <w:color w:val="auto"/>
        </w:rPr>
      </w:pPr>
    </w:p>
    <w:p>
      <w:pPr>
        <w:ind w:left="460" w:right="460" w:firstLine="443"/>
        <w:spacing w:after="0" w:line="277"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rights and the assumption by such successor of the covenants contained in each indenture;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our covenants for the benefit of all or any series of debt securities, or to surrender any of our rights or powers;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change or eliminate any provisions, as long as any such change or elimination is effective only when there are no outstanding debt securities of any series created before the execution of such supplemental indenture which is entitled to the benefit of the provisions being changed or eliminated;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security for or guarantee of the debt securities;</w:t>
      </w:r>
    </w:p>
    <w:p>
      <w:pPr>
        <w:spacing w:after="0" w:line="117"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supplement any of the provisions to permit or facilitate the defeasance and discharge of any series of debt securities in accordance with such indenture;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in accordance with each indenture;</w:t>
      </w:r>
    </w:p>
    <w:p>
      <w:pPr>
        <w:spacing w:after="0" w:line="117"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acceptance of the appointment of a successor trustee for any series of debt securities or to provide for or facilitate the administration of the trusts under the indenture by more than one trustee;</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of any indenture which may be defective or inconsistent with any other provision, to eliminate any conflict with the Trust Indenture Act or to make any other provisions with respect to matters or questions arising under such indenture which are not inconsistent with any provision of the indenture, as long as the additional provisions do not adversely affect the interests of the holders in any material respect;</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change the conversion rights;</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the holders in any material respect; or</w:t>
      </w:r>
    </w:p>
    <w:p>
      <w:pPr>
        <w:spacing w:after="0" w:line="117" w:lineRule="exact"/>
        <w:rPr>
          <w:rFonts w:ascii="Arial" w:cs="Arial" w:eastAsia="Arial" w:hAnsi="Arial"/>
          <w:sz w:val="18"/>
          <w:szCs w:val="18"/>
          <w:color w:val="auto"/>
        </w:rPr>
      </w:pPr>
    </w:p>
    <w:p>
      <w:pPr>
        <w:ind w:left="460" w:right="60" w:firstLine="443"/>
        <w:spacing w:after="0" w:line="308" w:lineRule="auto"/>
        <w:tabs>
          <w:tab w:leader="none" w:pos="12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the junior subordinated indenture, to modify the subordination provisions thereof, except in a manner which would be adverse to the holders of subordinated or junior subordinated debt securities of any series then outstanding. (Section 10.1 of each indenture).</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Supplemental Indentures with Consent of Holders. </w:t>
      </w:r>
      <w:r>
        <w:rPr>
          <w:rFonts w:ascii="Arial" w:cs="Arial" w:eastAsia="Arial" w:hAnsi="Arial"/>
          <w:sz w:val="16"/>
          <w:szCs w:val="16"/>
          <w:color w:val="auto"/>
        </w:rPr>
        <w:t>If we receive the consent of the holders of at least a majority in principal amount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of each series affected, we may enter into supplemental indentures with the trustee for the purpose of adding any provisions to or changing in any manner or eliminating any of the provisions of each indenture or of modifying in any manner the rights of the holders under the indenture of such debt securities. As long as any of the preferred securities of an RGA trust remain outstanding, no modification of the related junior subordinated indenture may be made that requires the consent of the holders of the related junior subordinated debt securities, no termination of the related junior subordinated indenture may occur, and no waiver of any event of default under the related junior subordinated indenture may be effective, without the prior consent of the holders of a majority of the aggregate liquidation amount of the preferred securities of such RGA trust.</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However, unless we receive the consent of all of the affected holders, we may not enter into supplemental indentures that would, with respect to the debt securities of such holders:</w:t>
      </w:r>
    </w:p>
    <w:p>
      <w:pPr>
        <w:spacing w:after="0" w:line="62" w:lineRule="exact"/>
        <w:rPr>
          <w:sz w:val="20"/>
          <w:szCs w:val="20"/>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conflict with the required provisions of the Trust Indenture Act;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any prospectus supplement or other offering material:</w:t>
      </w:r>
    </w:p>
    <w:p>
      <w:pPr>
        <w:spacing w:after="0" w:line="131"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installment of interest, if any, on, any debt security,</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thereof or the interest thereon or any premium payable upon redemption thereof; provided, however, that a requirement to offer to repurchase debt securities will not be deemed a redemption for this purpose,</w:t>
      </w:r>
    </w:p>
    <w:p>
      <w:pPr>
        <w:spacing w:after="0" w:line="75"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currency or currencies in which the principal of, and premium, if any, or interest on such debt security is denominated or payable,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hanging="446"/>
        <w:spacing w:after="0" w:line="264"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the principal of a discount security that would be due and payable upon a declaration of acceleration of the maturity thereof or reduce the amount of, or postpone the date fixed for, any payment under any sinking fund or analogous provisions for any debt security,</w:t>
      </w:r>
    </w:p>
    <w:p>
      <w:pPr>
        <w:spacing w:after="0" w:line="86"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the stated maturity thereof, or, in the case of redemption, on or after the redemption date,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into shares of our common stock if so provided;</w:t>
      </w:r>
    </w:p>
    <w:p>
      <w:pPr>
        <w:spacing w:after="0" w:line="117" w:lineRule="exact"/>
        <w:rPr>
          <w:sz w:val="20"/>
          <w:szCs w:val="20"/>
          <w:color w:val="auto"/>
        </w:rPr>
      </w:pPr>
    </w:p>
    <w:p>
      <w:pPr>
        <w:ind w:left="460" w:right="540" w:firstLine="443"/>
        <w:spacing w:after="0" w:line="277"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requirement for majority approval of supplemental indentures, or for waiver of compliance with certain provisions of either indenture or certain defaults; or</w:t>
      </w:r>
    </w:p>
    <w:p>
      <w:pPr>
        <w:spacing w:after="0" w:line="62" w:lineRule="exact"/>
        <w:rPr>
          <w:rFonts w:ascii="Arial" w:cs="Arial" w:eastAsia="Arial" w:hAnsi="Arial"/>
          <w:sz w:val="18"/>
          <w:szCs w:val="18"/>
          <w:color w:val="auto"/>
        </w:rPr>
      </w:pPr>
    </w:p>
    <w:p>
      <w:pPr>
        <w:jc w:val="both"/>
        <w:ind w:left="460" w:right="20" w:firstLine="443"/>
        <w:spacing w:after="0" w:line="264"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any provisions of either indenture relating to waiver of past defaults with respect to that series, except to increase any such percentage or to provide that certain other provisions of such indenture cannot be modified or waived without the consent of the holders of each such debt security of each series affected thereby. (Section 10.2 of each indenture).</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It is not necessary for holders of the debt securities to approve the particular form of any proposed supplemental indenture, but it is sufficient if the holders approve the substance thereof. (Section 10.2 of each indenture).</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supplemental indenture which changes or eliminates any covenant or other provision of the indenture to which it relates with respect to one or more particular series of debt securities or which modifies the rights of the holders of debt securities of such series with respect to such covenant or other provision, will be deemed not to affect the rights under such indenture of the holders of debt securities of any other series. (Section 10.2 of each indenture).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subordinated debt securities will be subordinated and junior in right of payment to all our present and future senior indebtedness to the extent and in the manner set forth in the applicable prospectus supplement or other offering material. In the junior subordinated indenture, RGA has covenanted and agreed that any junior subordinated debt securities issued thereunder are subordinated and junior in right of payment to all present and future senior indebtedness to the extent provided in the indenture. (Section 16.1 of the junior subordinated indenture). Unless otherwise indicated in the applicable prospectus supplement or other offering material, the junior subordinated indenture defines the term “senior indebtedness” with respect to each respective series of junior subordinated debt securities, to mean the principal, premium, if any, and interest on:</w:t>
      </w:r>
    </w:p>
    <w:p>
      <w:pPr>
        <w:spacing w:after="0" w:line="84" w:lineRule="exact"/>
        <w:rPr>
          <w:sz w:val="20"/>
          <w:szCs w:val="20"/>
          <w:color w:val="auto"/>
        </w:rPr>
      </w:pPr>
    </w:p>
    <w:p>
      <w:pPr>
        <w:ind w:left="900" w:right="28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indebtedness of RGA, whether outstanding on the date of the issuance of subordinated debt securities or thereafter created, incurred or assumed, which is for money borrowed, or which is evidenced by a note or similar instrument given in connection with the acquisition of any business, properties or assets, including securities;</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indebtedness of others of the kinds described in the preceding clause for the payment of which RGA is responsible or liable as guarantor or otherwise;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modifications, renewals, extensions, deferrals and refundings of any such indebtedness.</w:t>
      </w:r>
    </w:p>
    <w:p>
      <w:pPr>
        <w:spacing w:after="0" w:line="2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the case of the junior subordinated indenture, unless otherwise indicated in the applicable prospectus supplement or other offering material, senior indebtedness also includes all subordinated debt securities issued under the indenture. The senior indebtedness will continue to be senior indebtedness and entitled to the benefits of the subordination provisions irrespective of any amendment, modification or waiver of any term of the senior indebtedness or extension or renewal of the senior indebtedness. Unless otherwise indicated in the applicable prospectus supplement or other offering material, notwithstanding anything to the contrary in the foregoing, senior indebtedness will not include (A) indebtedness incurred for the purchase of goods or materials or for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services obtained in the ordinary course of business and (B) any indebtedness which by its terms is expressly made pari passu, or equal in rank and payment, with or subordinated to the junior subordinated debt securities. (Section 16.2 of the junior subordinated indenture).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Unless otherwise indicated in the applicable prospectus supplement or other offering material, no direct or indirect payment, in cash, property or securities, by set-off or otherwise, shall be made or agreed to be made on account of the junior subordinated debt securities or interest thereon or in respect of any repayment, redemption, retirement, purchase or other acquisition of such junior subordinated debt securities, if:</w:t>
      </w:r>
    </w:p>
    <w:p>
      <w:pPr>
        <w:spacing w:after="0" w:line="71" w:lineRule="exact"/>
        <w:rPr>
          <w:sz w:val="20"/>
          <w:szCs w:val="20"/>
          <w:color w:val="auto"/>
        </w:rPr>
      </w:pPr>
    </w:p>
    <w:p>
      <w:pPr>
        <w:ind w:left="900" w:right="2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RGA defaults in the payment of any principal, or premium, if any, or interest on any senior indebtedness, whether at maturity or at a date fixed for prepayment or declaration or otherwise; or</w:t>
      </w:r>
    </w:p>
    <w:p>
      <w:pPr>
        <w:spacing w:after="0" w:line="75"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event of default occurs with respect to any senior indebtedness permitting the holders to accelerate the maturity and written notice of such event of default, requesting that payments on junior subordinated debt securities cease, is given to RGA by the holders of senior indebtedness, unless and until such default in payment or event of default has been cured or waived or ceases to exist. (Section 16.4 of the junior subordinated indenture).</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Unless otherwise indicated in the applicable prospectus supplement or other offering material, all present and future senior indebtedness, which shall include subordinated indebtedness in the case of our junior subordinated debt securities, including, without limitation, interest accruing after the commencement of any proceeding described below, assignment or marshaling of assets, shall first be paid in full before any payment or distribution, whether in cash, securities or other property, shall be made by RGA on account of junior subordinated debt securities in the event of:</w:t>
      </w:r>
    </w:p>
    <w:p>
      <w:pPr>
        <w:spacing w:after="0" w:line="77" w:lineRule="exact"/>
        <w:rPr>
          <w:sz w:val="20"/>
          <w:szCs w:val="20"/>
          <w:color w:val="auto"/>
        </w:rPr>
      </w:pPr>
    </w:p>
    <w:p>
      <w:pPr>
        <w:ind w:left="900" w:right="1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insolvency, bankruptcy, receivership, liquidation, reorganization, readjustment, composition or other similar proceeding relating to RGA, its creditors or its property;</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proceeding for the liquidation, dissolution or other winding-up of RGA, voluntary or involuntary, whether or not involving insolvency or bankruptcy proceedings;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assignment by RGA for the benefit of creditors;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marshaling of the assets of RGA.</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Unless otherwise indicated in the applicable prospectus supplement or other offering materials, in any such event, payments or distributions which would otherwise be made on junior subordinated debt securities will generally be paid to the holders of senior indebtedness, or their representatives, in accordance with the priorities existing among these creditors at that time until the senior indebtedness is paid in full. (Section 16.3 of the junior subordinated indenture). No present or future holder of any senior indebtedness will be prejudiced in the right to enforce the subordination of junior subordinated debt securities by any act or failure to act on the part of RGA. (Section 16.9 of the junior subordinated indenture).</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Senior indebtedness will only be deemed to have been paid in full if the holders of such indebtedness have received cash, securities or other property which is equal to the amount of the outstanding senior indebtedness. After payment in full of all present and future senior indebtedness, holders of junior subordinated debt securities will be subrogated to the rights of any holders of senior indebtedness to receive any further payments or distributions that are applicable to the senior indebtedness until all the junior subordinated debt securities are paid in full. In matters between holders of junior subordinated debt securities and any other type of RGA’s creditors, any payments or distributions that would otherwise be paid to holders of senior debt securities or subordinated debt securities and that are made to holders of junior subordinated debt securities because of this subrogation will be deemed a payment by RGA on account of senior indebtedness and not on account of junior subordinated debt securities. (Section 16.7 of the junior subordinated indenture).</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junior subordinated indenture provides that the foregoing subordination provisions may be changed, except in a manner which would be adverse to the holders of junior subordinated debt securities of any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then outstanding. (Sections 10.1 and 10.2 of the junior subordinated indenture). The prospectus supplement or other offering materials relating to such junior subordinated debt securities would describe any such change.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prospectus supplement or other offering materials delivered in connection with the offering of a series of subordinated debt or junior subordinated debt securities will set forth a more detailed description of the subordination provisions applicable to any such debt securities.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this prospectus is being delivered in connection with the offering of a series of subordinated or junior subordinated debt securities, the accompanying prospectus supplement or other offering materials or information incorporated by reference will set forth the approximate amount of indebtedness senior to such subordinated or junior subordinated indebtedness outstanding as of a recent date. The indenture and the junior subordinated indenture place no limitation on the amount of additional senior indebtedness that may be incurred by RGA. RGA expects from time to time to incur additional indebtedness constituting senior indebtedness. See “—General” on page 11 for a summary of our indebtedness at March 31,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Unless otherwise indicated in the applicable prospectus supplement or other offering material, an event of default with respect to any series of debt securities issued under each of the indentures means:</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the principal of, and premium, if any, on, any debt security of such series when due;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for 30 days in the payment of any interest upon any debt security of such series when it becomes due and payable, except where we have properly deferred the interest, if applicable;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by the terms of a debt security of such series, and the continuance of such default for a period of 30 days;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for 90 days after we receive notice as provided in the applicable indenture in the performance of any covenant or breach of any warranty in the indenture governing that series;</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events of bankruptcy, insolvency or receivership, or, with respect to the junior subordinated debt securities, the dissolution of the RGA trust; or</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events which we specify for that series, which will be indicated in the prospectus supplement or other offering material for that series. (Section 5.1 of each indenture).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Within 90 days after a default in respect of any series of debt securities, the trustee, or property trustee, if applicable, must give to the holders of such series notice of all uncured and unwaived defaults by us known to it. However, except in the case of default in payment, the trustee may withhold such notice if it determines that such withholding is in the interest of such holders. (Section 6.2 of each indenture).</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an event of default occurs in respect of any outstanding series of debt securities and is continuing, the trustee under the indenture, the property trustee under the junior subordinated indenture or the holders of at least 25% in principal amount of the outstanding debt securities of that series may declare the principal amount, or, if the debt securities of that series are original issue discount securities or indexed securities, such portion of the principal amount as may be specified in the terms of those securities, of all of the debt securities of that series to be due and payable immediately by written notice thereof to us, and to the trustee or property trustee, if applicable, if given by the holders of the debt securities. Upon any such declaration, such principal or specified amount plus accrued and unpaid interest, and premium, if payable, will become immediately due and payable. However, with respect to any debt securities issued under the junior subordinated indenture, the payment of principal and interest on such debt securities shall remain subordinated to the extent provided in Article XVI of the junior subordinated indenture. In addition, at any time after such a declaration of acceleration but before a judgment or decree for payment of the money due has been obtained, the holders of a majority in principal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amount of outstanding debt securities of that series may, subject to specified conditions, rescind and annul such acceleration if all events of default, other than the non-payment of accelerated principal, or premium, if any, or interest on debt securities of such series have been cured or waived as provided in the indenture. (Section 5.2 of each indenture).</w:t>
      </w:r>
    </w:p>
    <w:p>
      <w:pPr>
        <w:spacing w:after="0" w:line="181"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holders of a majority in principal amount of the outstanding debt securities of a series, on behalf of the holders of all debt securities of that series, may waive any past default and its consequences, except that they may not waive an uncured default in payment or a default which cannot be waived without the consent of the holders of all outstanding securities of that series; provided that the holders of a majority in principal amount of outstanding debt securities may rescind and annul a declaration of acceleration, as described above. (Section 5.13 of each indenture).</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Within four months after the close of each fiscal year, we must file with the trustee a statement, signed by specified officers, stating whether or not such officers have knowledge of any default under the indenture and, if so, specifying each such default and the nature and status of each such default. (Section 11.2 of each indenture).</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Subject to provisions in the applicable indenture relating to its duties in case of default, the trustee, or property trustee, if applicable, is not required to take action at the request of any holders of debt securities, unless such holders have offered to the trustee security or indemnity reasonably satisfactory to it. (Section 6.3 of each indenture).</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such indemnification requirements and other limitations set forth in the applicable indenture, if any event of default has occurred, the holders of a majority in principal amount of the outstanding debt securities of any series may direct the time, method and place of conducting proceedings for remedies available to the trustee, or exercising any trust or power conferred on the trustee, in respect of such series. (Section 5.12 of each indenture).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Satisfaction and Discharge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Legal or Covenant Defeasance. </w:t>
      </w:r>
      <w:r>
        <w:rPr>
          <w:rFonts w:ascii="Arial" w:cs="Arial" w:eastAsia="Arial" w:hAnsi="Arial"/>
          <w:sz w:val="18"/>
          <w:szCs w:val="18"/>
          <w:color w:val="auto"/>
        </w:rPr>
        <w:t>Each indenture provides that we may be discharged from our obligations in respect of the debt securities of any series,</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 These provisions will apply to any debt securities, unless otherwise specified in a prospectus supplement or other offering material. The prospectus supplement or other offering material will describe any defeasance provisions that apply to other types of debt securities. (Section 14.1 of each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option, we may choose either one of the following alternatives:</w:t>
      </w:r>
    </w:p>
    <w:p>
      <w:pPr>
        <w:spacing w:after="0" w:line="131" w:lineRule="exact"/>
        <w:rPr>
          <w:sz w:val="20"/>
          <w:szCs w:val="20"/>
          <w:color w:val="auto"/>
        </w:rPr>
      </w:pPr>
    </w:p>
    <w:p>
      <w:pPr>
        <w:ind w:left="900" w:right="14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elect to be discharged from any and all of our obligations in respect of the debt securities of any series, except for, among other things, certain obligations to register the transfer or exchange of debt securities of such series, to replace stolen, lost or mutilated debt securities of such series, and to maintain paying agencies and certain provisions relating to the treatment of funds held by the trustee for defeasance. We refer to this as “legal defeasance.”</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Alternatively, we may omit to comply with the covenants described under the heading “—Consolidation, Merger, Conveyance, Sale of Assets and Other Transfers” and any additional covenants which may be set forth in the applicable prospectus supplement, and any omission to comply with those covenants will not constitute a default or an event of default with respect to the debt securities of that series. We refer to this as “covenant defeasance.”</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either case,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including any mandatory sinking fund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premium, if any, and interest on the debt securities of that series on the stated maturity of those payments in accordance with the terms of the indenture and those debt securities. This discharge may occur only if, among other things, we have delivered to the trustee an opinion of counsel or an Internal Revenue Service ruling to the effect that the holders of the debt securities of that series will not recognize income, gain or loss for U.S. federal income tax purposes as a result of the defeasance. (Section 14.2 of each indenture).</w:t>
      </w:r>
    </w:p>
    <w:p>
      <w:pPr>
        <w:spacing w:after="0" w:line="18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In addition, with respect to the junior subordinated indenture, in order to be discharged, no event or condition shall exist that, pursuant to certain provisions described under “— Subordination” above, would prevent us from making payments of principal of, and premium, if any, and interest on junior subordinated debt securities at the date of the irrevocable deposit referred to above. (Section 14.2 of the junior subordinated indenture).</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i w:val="1"/>
          <w:iCs w:val="1"/>
          <w:color w:val="auto"/>
        </w:rPr>
        <w:t xml:space="preserve">Covenant Defeasance and Events of Default. </w:t>
      </w:r>
      <w:r>
        <w:rPr>
          <w:rFonts w:ascii="Arial" w:cs="Arial" w:eastAsia="Arial" w:hAnsi="Arial"/>
          <w:sz w:val="18"/>
          <w:szCs w:val="18"/>
          <w:color w:val="auto"/>
        </w:rPr>
        <w:t>In the event we exercise our option to effect covenant defeasance with respect to any series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the debt securities of that series are declared due and payable because of the occurrence of any event of default, the amount of money and/or U.S.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However, we will remain liable for those payments.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“U.S. Government Obligations” means securities which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at the option of the issuer thereof, and will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 (Section 14.2 of each indenture).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exercise our legal defeasance option even if we have already exercised our covenant defeasance option. (Section 14.2 of each indenture).</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may be additional provisions relating to defeasance which we will describe in the prospectus supplement or other offering material. (Section 14.1 of each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series of the senior or subordinated debt securities may be convertible or exchangeable into common or preferred stock or other debt securities registered under the registration statement relating to this prospectus. The specific terms and conditions on which such debt securities may be so converted or exchanged will be set forth in the applicable prospectus supplement or other offering material. Those terms may include the conversion or exchange price, provisions for conversion or exchange, either mandatory, at the option of the holder, or at our option, whether we have an option to convert debt securities into cash, rather than common stock, and provisions under which the number of shares of common or preferred stock or other securities to be received by the holders of debt securities would be calculated as of a time and in the manner stated in the applicable prospectus supplement. (Section 15.1 of each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internal laws of the State of New York. (Section 1.11 of each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Unless otherwise specified in the applicable prospectus supplement or other offering material, The Bank of New York Mellon Trust Company, N.A. will be the trustee under the indenture and the junior subordinated indenture relating to the junior subordinated debt securities which may be offered to the RGA trusts. We have entered, and from time to time may continue to enter, into banking or other relationships with such trustees or their affiliates, including The Bank of New York Mellon. For example, The Bank of New York Mellon Trust Company, N.A. is successor trustee of the indentures relating to our 6.45% Senior Notes due 2019, our 5.00% Senior Notes due 2021, and our Variable Rate Junior Subordinated Debentures due 2065 and is trustee of the indenture relating to our 6.20% Fixed-to-Floating Rate Subordinated Debentures due 2042, our 4.70% Senior Notes due 2023, our 3.95% Senior Notes due 2026, and our 5.75% Fixed-To-Floating Rate Subordinated Debentures due 2056. The Bank of New York Mellon is a lender under our syndicated revolving credit facility, dated September 25, 2014. These entities and their affiliates also provide other banking and financial services to us.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trustee is or becomes one of our creditors, the indenture limits the right of the trustee to obtain payment of claims in certain cases, or to realize on certain property received in respect of any such claims as security or otherwise. The trustee will be permitted to engage in other transactions. However, if after a specified default has occurred and is continuing, it acquires or has a conflicting interest (such as continuing to serve as trustee with respect to outstanding notes or debentures or continuing to be a creditor of RGA in certain circumstances), it must eliminate such conflict within 90 days or receive permission from the SEC to continue as a trustee or resign.</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There may be more than one trustee under each indenture, each with respect to one or more series of debt securities. (Section 1.1 of each indenture). Any trustee may resign or be removed with respect to one or more series of debt securities, and a successor trustee may be appointed to act with respect to such series. (Section 6.10 of each indenture).</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two or more persons are acting as trustee with respect to different series of debt securities, each trustee will be a trustee of a trust under the indenture separate from the trust administered by any other such trustee. Except as otherwise indicated in this prospectus, any action to be taken by the trustee may be taken by each such trustee with respect to, and only with respect to, the one or more series of debt securities for which it is trustee under the indenture.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OF RGA</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following is a summary of the material terms of our capital stock and the provisions of our amended and restated articles of incorporation and bylaws. It also summarizes some relevant provisions of the Missouri General and Business Corporation Law, which we refer to as Missouri law. Since the terms of our articles of incorporation, and bylaws, and Missouri law, are more detailed than the general information provided below, you should only rely on the actual provisions of those documents and Missouri law. If you would like to read those documents, they are on file with the SEC, as described under the heading “Where You Can Find More Information” on page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RGA’s authorized capital stock consists of 150 million shares of capital stock, of which:</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140 million shares are designated as common stock, par value $0.01 per share;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 million shares are designated as preferred stock, par value $0.01 per share.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March 31, 2017, RGA had approximately 64.4 million shares of common stock outstanding, and approximately 14.7 million shares issuable upon exercise or settlement of outstanding options or other awards.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shares of common stock are validly issued, fully paid and nonassessable.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Subject to the prior rights of the holders of any shares of preferred stock which later may be issued and outstanding, holders of common stock are entitled to receive dividends as and when declared by us out of legally available funds, and, if we liquidate, dissolve, or wind up RGA, to share ratably in all remaining assets after we pay liabilities. We are prohibited from paying dividends under our credit agreement unless, at the time of declaration and payment, certain defaults would not exist under such agreement. Under certain circumstances, we may be contractually prohibited from paying dividends on our common stock due to restrictions associated with certain of our debt securities. Each holder of common stock is entitled to one vote for each share held of record on all matters presented to a vote of shareholders, including the election of directors. Holders of common stock have no cumulative voting rights or preemptive rights to purchase or subscribe for any stock or other securities and there are no conversion rights or redemption or sinking fund provisions for the common stock.</w:t>
      </w:r>
    </w:p>
    <w:p>
      <w:pPr>
        <w:spacing w:after="0" w:line="19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may issue additional shares of authorized common stock without shareholder approval, subject to applicable rules of the New York Stock Exchange.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Computershare, P.O. Box 30170, College Station, TX 77842-3170, is the registrar and transfer agent for our common stock. Our common stock is listed on the New York Stock Exchange under the symbol “RGA”.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articles of incorporation vest our board of directors with authority to issue up to 10,000,000 shares of preferred stock from time to time in one or more series, with such voting powers, full or limited, or no voting powers, and such designations, preferences and relative, participating, optional or other special rights, and qualifications, limitations or restrictions thereof, as may be stated in the resolution or resolutions providing for the issuance of such stock adopted from time to time by the board of directors. Our board of directors is expressly authorized to fix or determine:</w:t>
      </w:r>
    </w:p>
    <w:p>
      <w:pPr>
        <w:spacing w:after="0" w:line="7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specific designation of the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consideration for which the shares of the series are to be issued;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and times at which, and the conditions under which, dividends will be payable on shares of that series, and the status of those dividends as cumulative or non-cumulative and, if cumulative, the date or dates from which dividends shall be cumulative;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times, terms and conditions, if any, upon which the shares of the series may be redeemed;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rights, if any, which the holders of shares of the series have in the event of our dissolution or upon distribution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from time to time, whether to include the additional shares of preferred stock which we are authorized to issue in the series;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or not the shares of the series are convertible into or exchangeable for other securities of RGA, including shares of our common stock or shares of any other series of our preferred stock, the price or prices or the rate or rates at which conversion or exchange may be made, and the terms and conditions upon which the conversion or exchange right may be exercised;</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sinking fund will be provided for the purchase or redemption of shares of the series and, if so, to fix the terms and the amount or amounts of the sinking fund;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preferences and rights, privileges and restrictions applicable to the series as may be permitted by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shares of the same series of preferred stock will be identical and of equal rank except as to the times from which cumulative dividends, if any, on those shares will be cumulative. The shares of different series may differ, including as to rank, as may be provided in our articles of incorporation, or as may be fixed by our board of directors as described above. We may from time to time amend our articles of incorporation to increase or decrease the number of authorized shares of preferred stock.</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material terms of any series of preferred stock being offered by us will be described in the prospectus supplement or other offering material relating to that series of preferred stock. If so indicated in the prospectus supplement or other offering material and if permitted by the articles of incorporation and by law, the terms of any such series may differ from the terms set forth below. That prospectus supplement may not restate the amendment to our articles of incorporation or the board resolution that establishes a particular series of preferred stock in its entirety. We urge you to read that amendment or board resolution because it, and not the description in the prospectus supplement or other offering material, will define your rights as a holder of preferred stock. The certificate of amendment to our articles of incorporation or board resolution will be filed with the Secretary of State of the State of Missouri and with the SEC.</w:t>
      </w:r>
    </w:p>
    <w:p>
      <w:pPr>
        <w:spacing w:after="0" w:line="18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One or more series of preferred stock may be preferred as to payment of dividends over our common stock or any other stock ranking</w:t>
      </w:r>
      <w:r>
        <w:rPr>
          <w:rFonts w:ascii="Arial" w:cs="Arial" w:eastAsia="Arial" w:hAnsi="Arial"/>
          <w:sz w:val="16"/>
          <w:szCs w:val="16"/>
          <w:i w:val="1"/>
          <w:iCs w:val="1"/>
          <w:color w:val="auto"/>
        </w:rPr>
        <w:t xml:space="preserve"> </w:t>
      </w:r>
      <w:r>
        <w:rPr>
          <w:rFonts w:ascii="Arial" w:cs="Arial" w:eastAsia="Arial" w:hAnsi="Arial"/>
          <w:sz w:val="16"/>
          <w:szCs w:val="16"/>
          <w:color w:val="auto"/>
        </w:rPr>
        <w:t>junior to the preferred stock as to dividends. In that case, before any dividends or distributions on our common stock or stock of junior rank, other than dividends or distributions payable in common stock, are declared and set apart for payment or paid, the holders of shares of each series of preferred stock will be entitled to receive dividends when, as and if declared by our board of directors. We will pay those dividends either in cash, shares of common stock or preferred stock or otherwise, at the rate and on the date or dates indicated in the applicable prospectus supplement. With respect to each series of preferred stock entitled to cumulative dividends, the dividends on each share of that series will be cumulative from the date of issue of the share unless some other date is set forth in the prospectus supplement relating to the series. Accruals of dividends will not bear interest. We are prohibited from paying dividends under our credit agreement unless, at the time of declaration and payment, a default would not exist under the agreement.</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Rights upon Liquidation. </w:t>
      </w:r>
      <w:r>
        <w:rPr>
          <w:rFonts w:ascii="Arial" w:cs="Arial" w:eastAsia="Arial" w:hAnsi="Arial"/>
          <w:sz w:val="17"/>
          <w:szCs w:val="17"/>
          <w:color w:val="auto"/>
        </w:rPr>
        <w:t>The preferred stock may be preferred over common stock, or any other stock ranking junior to the preferred stock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distribution of assets, as to our assets so that the holders of each series of preferred stock will be entitled to be paid, upon voluntary or involuntary liquidation, dissolution or winding up and before any distribution is made to the holders of common stock or stock of junior rank, the amount set forth in the applicable prospectus supplement. However, in this case the holders of preferred stock will not be entitled to any other or further payment. If upon any liquidation, dissolution or winding up our net assets are insufficient to permit the payment in full of the respective amounts to which the holders of all outstanding preferred stock are entitled, our entire remaining net assets will be distributed among the holders of each series of preferred stock in an amount proportional to the full amounts to which the holders of each series are entitled.</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All shares of any series of preferred stock will be redeemable, if at all, to the extent set forth in the prospectus supplement or other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relating to the series.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Conversion or Exchange. </w:t>
      </w:r>
      <w:r>
        <w:rPr>
          <w:rFonts w:ascii="Arial" w:cs="Arial" w:eastAsia="Arial" w:hAnsi="Arial"/>
          <w:sz w:val="18"/>
          <w:szCs w:val="18"/>
          <w:color w:val="auto"/>
        </w:rPr>
        <w:t>Shares of any series of preferred stock will be convertible into or exchangeable for shares of common stock or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securities, if at all, to the extent set forth in the applicable prospectus supplement or other offering material.</w:t>
      </w:r>
    </w:p>
    <w:p>
      <w:pPr>
        <w:spacing w:after="0" w:line="170"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No holder of shares of any series of preferred stock will have any preemptive or preferential rights to subscribe to 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any class or series of stock, now or hereafter authorized, or any securities convertible into, or warrants or other evidences of optional rights to purchase or subscribe to, shares of any series, now or hereafter authorized.</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as indicated in the applicable prospectus supplement or other offering material and subject to provisions in our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relating to the rights of our common stock, the holders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voting preferred stock will be entitled to one vote for each share of preferred stock held by them on all matters properly presented to shareholders. Except as otherwise provided in the amendment to our articles of incorporation or the directors resolution that creates a specified class of preferred stock, the holders of common stock and the holders of all series of preferred stock will vote together as one class. In addition, currently under Missouri law, even if shares of a particular class or series of stock are not otherwise entitled to a vote on any matters submitted to the shareholders, amendments to the articles of incorporation which adversely affect those shares require a vote of the class or series of which such shares are a part, including amendments which would:</w:t>
      </w:r>
    </w:p>
    <w:p>
      <w:pPr>
        <w:spacing w:after="0" w:line="6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or decrease the aggregate number or par value of authorized shares of the class or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a new class of shares having rights and preferences prior or superior to the shares of the class or series;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rights and preferences, or the number of authorized shares, of any class having rights and preferences prior to or superior to the rights of the class or series;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or series so as to affect such shares adversely.</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Most of our operations are conducted through our subsidiaries, and thus our ability to pay dividends on any series of preferred stock is dependent on their financial condition, results of operations, cash requirements and other related factors. Our subsidiaries are also subject to restrictions on dividends and other distributions contained under applicable insurance laws and related regulations.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Depending upon the rights of holders of the preferred stock, an issuance of preferred stock could adversely affect holders of common stock by delaying or preventing a change of control of RGA, making removal of the management of RGA difficult, or restricting the payment of dividends and other distributions to the holders of common stock.</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As described under “Description of Depositary Shares of RGA,” we may, at our option, elect to offer depositary shares evidenced by depositary receipts, each representing an interest, to be specified in the applicable prospectus supplement for the particular series of the preferred stock, in a share of the particular series of the preferred stock issued and deposited with a preferred stock depositary. All shares of preferred stock offered by this prospectus, or issuable upon conversion, exchange or exercise of securities, will, when issued, be fully paid and non-assessable.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issue additional shares of common stock or preferred stock without shareholder approval, subject to applicable rules of the New York Stock Exchange, for a variety of corporate purposes, including raising additional capital, corporate acquisitions, and employee benefit plans. The existence of unissued and unreserved common and preferred stock may enable us to issue shares to persons who are friendly to current management, which could discourage an attempt to obtain control of RGA through a merger, tender offer, proxy contest, or otherwise, and protect the continuity of management and possibly deprive you of opportunities to sell your shares at prices higher than the prevailing market prices. We could also use additional shares to dilute the stock ownership of persons seeking to obtain control of RGA pursuant to the operation of the rights plan or otherwise. See also “— Anti-Takeover Provisions in the RGA Articles of Incorporation and Bylaws”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Indemnification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articles of incorporation limit the liability of our directors to RGA and its shareholders for monetary damages for breach of fiduciary duty as a director to the fullest extent permitted by Missouri law. Our articles of incorporation provide that RGA will indemnify each person (other than a party plaintiff suing on his own behalf or in the right of RGA) who at any time is serving or has served as a director or officer of RGA against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claim, liability or expense incurred as a result of this service, or as a result of any other service on behalf of RGA, or service at the request of RGA as a director, officer, employee, member or agent of another corporation, partnership, joint venture, trust, trade or industry association or other enterprise (whether incorporated or unincorporated, for-profit or not-for-profit), to the maximum extent permitted by law. Without limiting the generality of the foregoing, RGA will indemnify any such person who was or is a party (other than a party plaintiff suing on his own behalf or in the right of RGA), or is threatened to be made a party, to any threatened, pending or completed action, suit or proceeding, whether civil, criminal, administrative or investigative (including, but not limited to, an action by or in the right of RGA) by reason of such service against expenses (including, without limitation, attorneys’ fees), judgments, fines and amounts paid in settlement actually and reasonably incurred by him in connection with such action, suit or proceeding. We have entered into indemnification agreements with our officers and directors providing for indemnification to the fullest extent permitted by law.</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inclusion of these provisions in our articles of incorporation may have the effect of reducing the likelihood of derivative litigation against our directors and may discourage or deter RGA or its shareholders from bringing a lawsuit against our directors for breach of their duty of care, even though such an action, if successful, might otherwise have benefited RGA and its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the RGA Articles of Incorporation and Bylaws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Some of the provisions in our articles of incorporation and bylaws and Section 351.459 of the Missouri corporation statute could have the following effects, among others:</w:t>
      </w:r>
    </w:p>
    <w:p>
      <w:pPr>
        <w:spacing w:after="0" w:line="7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RGA;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delaying, deferring or preventing the removal of our existing management or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deterring potential acquirors from making an offer to our shareholders;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shareholders’ opportunity to realize premiums over prevailing market prices of our common stock in connection with offers by potential acquirors.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some of the provisions in our articles of incorporation and bylaws that could have the effects described above.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Our articles of incorporation and bylaws provide that our board of directors will be divided into three classes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staggered three-year terms. Each class, to the extent possible, will be equal in number. The size of our board of directors will not be less than three and our board of directors can amend the number of directors by majority vote. Each class holds office until the third annual shareholders’ meeting for election of directors following the most recent election of such class.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i w:val="1"/>
          <w:iCs w:val="1"/>
          <w:color w:val="auto"/>
        </w:rPr>
        <w:t xml:space="preserve">Directors, and Not Shareholders, Fix the Size of the Board of Directors of RGA. </w:t>
      </w:r>
      <w:r>
        <w:rPr>
          <w:rFonts w:ascii="Arial" w:cs="Arial" w:eastAsia="Arial" w:hAnsi="Arial"/>
          <w:sz w:val="17"/>
          <w:szCs w:val="17"/>
          <w:color w:val="auto"/>
        </w:rPr>
        <w:t>Our articles of incorporation and bylaws provide that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will be fixed from time to time exclusively pursuant to a resolution adopted by a majority of our board of directors, but in no event will it consist of less than three directors. In accordance with our bylaws, our board of directors currently has fixed the number of directors at eleven.</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Directors are Removed for Cause Only. </w:t>
      </w:r>
      <w:r>
        <w:rPr>
          <w:rFonts w:ascii="Arial" w:cs="Arial" w:eastAsia="Arial" w:hAnsi="Arial"/>
          <w:sz w:val="17"/>
          <w:szCs w:val="17"/>
          <w:color w:val="auto"/>
        </w:rPr>
        <w:t>Missouri law provides that, unless a corporation’s articles of incorporation provide otherwise, the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corporation’s voting stock may remove any director from office. Our articles of incorporation provide that shareholders may remove a director only “for cause” and with the approval of the holders of 85% of RGA’s voting stock. Our board of directors may remove a director, with or without cause, only in the event the director fails to meet the qualifications stated in the bylaws for election as a director or in the event the director is in breach of any agreement between such director and RGA relating to such director’s service as RGA’s director or employee.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 xml:space="preserve">Board Vacancies to Be Filled by Remaining Directors and Not Shareholders. </w:t>
      </w:r>
      <w:r>
        <w:rPr>
          <w:rFonts w:ascii="Arial" w:cs="Arial" w:eastAsia="Arial" w:hAnsi="Arial"/>
          <w:sz w:val="17"/>
          <w:szCs w:val="17"/>
          <w:color w:val="auto"/>
        </w:rPr>
        <w:t>Any vacancy created by any reason prior to the expiration of the class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vacancy occurs will be filled by a majority of the remaining directors, even if less than a quorum. A director elected to fill a vacancy will be elected for the unexpired term of his predecessor. Any directorship to be filled by reason of an increase in the number of directors may be filled by the board of directors and will be added to such class of directors so that all classes of directors will be as nearly equal in number as possible.</w:t>
      </w:r>
    </w:p>
    <w:p>
      <w:pPr>
        <w:spacing w:after="0" w:line="17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Shareholders May Only Act by Written Consent Upon Unanimous Written Consent. </w:t>
      </w:r>
      <w:r>
        <w:rPr>
          <w:rFonts w:ascii="Arial" w:cs="Arial" w:eastAsia="Arial" w:hAnsi="Arial"/>
          <w:sz w:val="18"/>
          <w:szCs w:val="18"/>
          <w:color w:val="auto"/>
        </w:rPr>
        <w:t>As required by Missouri law, our articles of incorporation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for shareholder action by unanimous written consent only.</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i w:val="1"/>
          <w:iCs w:val="1"/>
          <w:color w:val="auto"/>
        </w:rPr>
        <w:t xml:space="preserve">No Special Meetings Called by Shareholders. </w:t>
      </w:r>
      <w:r>
        <w:rPr>
          <w:rFonts w:ascii="Arial" w:cs="Arial" w:eastAsia="Arial" w:hAnsi="Arial"/>
          <w:sz w:val="18"/>
          <w:szCs w:val="18"/>
          <w:color w:val="auto"/>
        </w:rPr>
        <w:t>Our articles of incorporation provide that special meetings may only be called by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our president, or a majority of our board of directors. Only such business will be conducted, and only such proposals acted upon, as are specified in the notice of the special meeting.</w:t>
      </w:r>
    </w:p>
    <w:p>
      <w:pPr>
        <w:spacing w:after="0" w:line="18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Advance Notice for Shareholder Proposals and Director Nominations. </w:t>
      </w:r>
      <w:r>
        <w:rPr>
          <w:rFonts w:ascii="Arial" w:cs="Arial" w:eastAsia="Arial" w:hAnsi="Arial"/>
          <w:sz w:val="16"/>
          <w:szCs w:val="16"/>
          <w:color w:val="auto"/>
        </w:rPr>
        <w:t>Our articles of incorporation contain provisions requiring that advance notice be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to RGA of any business to be brought by a shareholder before an annual meeting and providing for procedures to be followed by shareholders in nominating persons for election to our board of directors. Ordinarily, the shareholder must give notice at least 60 days but not more than 90 days before the meeting, but if we give less than 70 days’ notice of the meeting, then the shareholder must give notice within ten days after we mail notice of the meeting or make other public disclosure of the meeting. The notice must include a description of the proposal, the reasons for the proposal, and other specified matters. Additionally, our bylaws supplement the advance notice requirements included in our articles of incorporation by, among other things, requiring shareholder proponents to disclose all ownership interests in us, certain information about proposed director nominees, any material interest of the shareholder proponent or beneficial owner in the business proposed for the meeting. The bylaws also require that these disclosures be updated and supplemented, if necessary and that the shareholder proposing business or making a nomination must appear at the meeting for the proposal to be considered. Our board may reject any proposals that have not followed these procedures or that are not a proper subject for shareholder action in accordance with the provisions of applicable law.</w:t>
      </w:r>
    </w:p>
    <w:p>
      <w:pPr>
        <w:spacing w:after="0" w:line="169"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i w:val="1"/>
          <w:iCs w:val="1"/>
          <w:color w:val="auto"/>
        </w:rPr>
        <w:t xml:space="preserve">Bylaws May Be Amended by Directors and Not Shareholders. </w:t>
      </w:r>
      <w:r>
        <w:rPr>
          <w:rFonts w:ascii="Arial" w:cs="Arial" w:eastAsia="Arial" w:hAnsi="Arial"/>
          <w:sz w:val="16"/>
          <w:szCs w:val="16"/>
          <w:color w:val="auto"/>
        </w:rPr>
        <w:t>Our articles of incorporation provide that our bylaws may be amended only by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entire board of directors. Shareholders will not be able to amend the bylaws without first amending our articles of incorporation.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Supermajority Vote Required to Amend Specified Provisions. </w:t>
      </w:r>
      <w:r>
        <w:rPr>
          <w:rFonts w:ascii="Arial" w:cs="Arial" w:eastAsia="Arial" w:hAnsi="Arial"/>
          <w:sz w:val="16"/>
          <w:szCs w:val="16"/>
          <w:color w:val="auto"/>
        </w:rPr>
        <w:t>Our articles of incorporation provide that amendment of the following provisions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affirmative vote of at least 85% of the outstanding capital stock entitled to vote generally in the election of directors, voting together as a single class:</w:t>
      </w:r>
    </w:p>
    <w:p>
      <w:pPr>
        <w:spacing w:after="0" w:line="2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regarding certain shareholder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relating to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related to shareholders’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specifying the procedure for amendment of bylaws;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relating to indemnification and related matters;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relating to the amendment of the articles of incorporation.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Exclusive Forum Provision. </w:t>
      </w:r>
      <w:r>
        <w:rPr>
          <w:rFonts w:ascii="Arial" w:cs="Arial" w:eastAsia="Arial" w:hAnsi="Arial"/>
          <w:sz w:val="18"/>
          <w:szCs w:val="18"/>
          <w:color w:val="auto"/>
        </w:rPr>
        <w:t>Our bylaws provide for the designation of any state court located in St. Louis County, Missouri, or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 Court for the Eastern District of Missouri as the exclusive forum for certain shareholder litigation such as derivative claims, breach of fiduciary duty claims, claims pursuant to the General and Business Corporation Law of Missouri, our articles of incorporation or our bylaws, claims governed by the internal affairs doctrine and actions to interpret, enforce or determine the validity of our articles of incorporation or our bylaws, unless we otherwise consent to another jurisdiction.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Missouri Statutory Provisions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Missouri law also contains certain provisions which may have an anti-takeover effect and otherwise discourage third parties from effecting transactions with us, including control share acquisition and business combination statutes.</w:t>
      </w:r>
    </w:p>
    <w:p>
      <w:pPr>
        <w:spacing w:after="0" w:line="17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Missouri law contains a “business combination statute” which restricts certain “business combinations” between us and</w:t>
      </w:r>
      <w:r>
        <w:rPr>
          <w:rFonts w:ascii="Arial" w:cs="Arial" w:eastAsia="Arial" w:hAnsi="Arial"/>
          <w:sz w:val="18"/>
          <w:szCs w:val="18"/>
          <w:i w:val="1"/>
          <w:iCs w:val="1"/>
          <w:color w:val="auto"/>
        </w:rPr>
        <w:t xml:space="preserve"> </w:t>
      </w:r>
      <w:r>
        <w:rPr>
          <w:rFonts w:ascii="Arial" w:cs="Arial" w:eastAsia="Arial" w:hAnsi="Arial"/>
          <w:sz w:val="18"/>
          <w:szCs w:val="18"/>
          <w:color w:val="auto"/>
        </w:rPr>
        <w:t>an “interested shareholder,” or affiliates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statute also provides that, after the expiration of such initial five-year period, business combinations are prohibited for an additional five-year period unless:</w:t>
      </w:r>
    </w:p>
    <w:p>
      <w:pPr>
        <w:spacing w:after="0" w:line="76" w:lineRule="exact"/>
        <w:rPr>
          <w:sz w:val="20"/>
          <w:szCs w:val="20"/>
          <w:color w:val="auto"/>
        </w:rPr>
      </w:pPr>
    </w:p>
    <w:p>
      <w:pPr>
        <w:ind w:left="900" w:right="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a majority of the outstanding voting stock, other than the stock owned by the interested shareholder, or any affiliate or associate of such interested shareholder, approve the business combination;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business combination satisfies certain detailed fairness and procedural requirements.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“business combination” for this purpose includes a merger or consolidation, some sales, leases, exchanges, pledges and similar dispositions of corporate assets or stock and any reclassifications or recapitalizations that generally increase the proportionate voting power of the interested shareholder. An “interested shareholder” for this purpose generally means any person who, together with his or her affiliates and associates, owns or controls 20% or more of the outstanding shares of the corporation’s voting stock.</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Missouri corporation may opt out of coverage by the business combination statute by including a provision to that effect in its governing corporate documents. We have not done so.</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 xml:space="preserve">Control Share Acquisition Statute. </w:t>
      </w:r>
      <w:r>
        <w:rPr>
          <w:rFonts w:ascii="Arial" w:cs="Arial" w:eastAsia="Arial" w:hAnsi="Arial"/>
          <w:sz w:val="16"/>
          <w:szCs w:val="16"/>
          <w:color w:val="auto"/>
        </w:rPr>
        <w:t>Missouri also has a “control share acquisition statute” that would limit the rights of a shareholder to vote some or all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that it holds, in case of a shareholder whose acquisition of shares results in that shareholder having voting power, when added to the shares previously held by such shareholder, to exercise or direct the exercise of more than a specified percentage of RGA’s outstanding stock (beginning at 20%). The statute exempts some types of acquisitions and provides a procedure for an acquiring shareholder to obtain shareholder approval to permit such shareholder to vote these shares. However, as permitted by the statute, RGA previously amended its bylaws to provide that the control share acquisition statute will not apply to control share acquisitions of RGA’s stock, but may elect to become subject to such statute by a further amendment to its bylaws.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Takeover Bid Disclosure Statute. </w:t>
      </w:r>
      <w:r>
        <w:rPr>
          <w:rFonts w:ascii="Arial" w:cs="Arial" w:eastAsia="Arial" w:hAnsi="Arial"/>
          <w:sz w:val="18"/>
          <w:szCs w:val="18"/>
          <w:color w:val="auto"/>
        </w:rPr>
        <w:t>Missouri’s “takeover bid disclosure statute” requires that, under some circumstances, before making a tender offer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result in the offeror acquiring control of us, the offeror must file certain disclosure materials with the Commissioner of the Missouri Department of Securities.</w:t>
      </w:r>
    </w:p>
    <w:p>
      <w:pPr>
        <w:spacing w:after="0" w:line="18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i w:val="1"/>
          <w:iCs w:val="1"/>
          <w:color w:val="auto"/>
        </w:rPr>
        <w:t xml:space="preserve">Insurance Holding Companies Act. </w:t>
      </w:r>
      <w:r>
        <w:rPr>
          <w:rFonts w:ascii="Arial" w:cs="Arial" w:eastAsia="Arial" w:hAnsi="Arial"/>
          <w:sz w:val="17"/>
          <w:szCs w:val="17"/>
          <w:color w:val="auto"/>
        </w:rPr>
        <w:t>We are regulated in Missouri as an insurance holding company. Under the Missouri Insurance Holding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Act and related regulations, the acquisition of control of a domestic insurer must receive prior approval by the Missouri Department of Insurance, Financial Institutions and Professional Registration, which we refer to as the “Department.” Missouri law provides that a transaction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 approved if the Department finds that the transaction would, among other things, not violate the law or be contrary to the interests of the insureds of any participating domestic insurance corporations. The Department may approve any proposed change of control subject to conditions.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 OF RGA</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description of any deposit agreement and any related depositary shares and depositary receipts in this prospectus and in any prospectus supplement or other offering material of certain provisions are summaries of the material provisions of that deposit agreement and of the depositary shares and depositary receipts. These descriptions do not include all terms of those agreements and do not contain all of the information that you may find useful. The applicable prospectus supplement or other offering material will describe the terms of any depositary shares and depositary receipts in more detail; and we urge you to read the applicable prospectus supplement and the deposit agreement because they, and not our summaries and descriptions, will define your rights as holders of the depositary shares and depositary receipts. The applicable prospectus supplement will also state whether any of the generalized provisions summarized below do not apply to the depositary shares or depositary receipts being offered. The forms of the relevant documents will be filed with the SEC and will be available as described under the heading “Where You Can Find More Information”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may elect to have shares of preferred stock represented by depositary shares. The shares of any series of the preferred stock underlying the depositary shares will be deposited under a separate deposit agreement between us and a bank or trust company we select. The prospectus supplement or other offering material relating to a series of depositary shares will set forth the name and address of this preferred stock depositary. Subject to the terms of the deposit agreement, each owner of a depositary share will be entitled, proportionately, to all the rights, preferences and privileges of the preferred stock represented by such depositary share, including dividend, voting, redemption, conversion, exchange and liquidation rights.</w:t>
      </w:r>
    </w:p>
    <w:p>
      <w:pPr>
        <w:spacing w:after="0" w:line="158"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 or other offering material.</w:t>
      </w:r>
    </w:p>
    <w:p>
      <w:pPr>
        <w:spacing w:after="0" w:line="124"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 holder of depositary shares will be entitled to receive the shares of preferred stock, but only in whole shares of preferred stock, underlying those depositary shares. If the depositary receipts delivered by the holder evidence a number of depositary shares in excess of the whole number of shares of preferred stock to be withdrawn, the depositary will deliver to that holder at the same time a new depositary receipt for the excess number of depositary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preferred stock depositary will distribute all cash dividends or other cash distributions in respect of the series of preferred stock represented by the depositary shares to the record holders of depositary receipts in proportion, to the extent possible, to the number of depositary shares owned by those holders. The depositary, however, will distribute only the amount that can be distributed without attributing to any depositary share a fraction of one cent, and any undistributed balance will be added to and treated as part of the next sum received by the depositary for distribution to record holders of depositary receipts then outstanding.</w:t>
      </w:r>
    </w:p>
    <w:p>
      <w:pPr>
        <w:spacing w:after="0" w:line="188"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If there is a distribution other than in cash in respect of the preferred stock, the preferred stock depositary will distribute property received by it to the record holders of depositary receipts in proportion, insofar as possible, to the number of depositary shares owned by those holders, unless the preferred stock depositary determines that it is not feasible to make such a distribution. In that case, the preferred stock depositary may, with our approval, adopt any method that it deems equitable and practicable to effect the distribution, including a public or private sale of the property and distribution of the net proceeds from the sale to the holders.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amount distributed in any of the above cases will be reduced by any amount we or the preferred stock depositary are required to withhold on account of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any series of preferred stock underlying the depositary shares is subject to provisions relating to its conversion or exchange as set forth in an applicable prospectus supplement or other offering material, each record holder of depositary receipts will have the right or obligation to convert or exchange the depositary shares evidenced by the depositary receipts pursuant to those provisions.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any series of preferred stock underlying the depositary shares is subject to redemption, the depositary shares will be redeemed from the proceeds received by the preferred stock depositary resulting from the redemption, in whole or in part, of the preferred stock held by the preferred stock depositary. Whenever we redeem a share of preferred stock held by the preferred stock depositary, the preferred stock depositary will redeem as of the same redemption date a proportionate number of depositary shares representing the shares of preferred stock that were redeemed. The redemption price per depositary share will be equal to the aggregate redemption price payable with respect to the number of shares of preferred stock underlying the depositary shares. If fewer than all the depositary shares are to be redeemed, the depositary shares to be redeemed will be selected by lot or proportionately as we may determine.</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After the date fixed for redemption, the depositary shares called for redemption will no longer be deemed to be outstanding and all rights of the holders of the depositary shares will cease, except the right to receive the redemption price. Any funds that we deposit with the preferred stock depositary relating to depositary shares which are not redeemed by the holders of the depositary shares will be returned to us after a period of two years from the date the funds are deposited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Upon receipt of notice of any meeting at which the holders of any shares of preferred stock underlying the depositary shares are entitled to vote, the preferred stock depositary will mail the information contained in the notice to the record holders of the depositary receipts. Each record holder of the depositary receipts on the record date, which will be the same date as the record date for the preferred stock, may then instruct the preferred stock depositary as to the exercise of the voting rights pertaining to the number of shares of preferred stock underlying that holder’s depositary shares. The preferred stock depositary will try to vote the number of shares of preferred stock underlying the depositary shares in accordance with the instructions, and we will agree to take all reasonable action which the preferred stock depositary deems necessary to enable the preferred stock depositary to do so. The preferred stock depositary will abstain from voting the preferred stock to the extent that it does not receive specific written instructions from holders of depositary receipts representing the preferred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deposit agreement, whenever:</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cash dividend or other cash distribution becomes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distribution other than cash is made;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rights, preferences or privileges are offered with respect to the preferred stock;</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preferred stock depositary receives notice of any meeting at which holders of preferred stock are entitled to vote or of which holders of preferred stock are entitled to notice;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preferred stock depositary receives notice of the mandatory conversion of or any election by us to call for the redemption of any preferred stock, the preferred stock depositary will in each instance fix a record date, which will be the same as the record date for the preferred stock, for the determination of the holders of depositary receipts: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who will be entitled to receive dividend, distribution, rights, preferences or privileges or the net proceeds of any sale, or</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who will be entitled to give instructions for the exercise of voting rights at any such meeting or to receive notice of the meeting or the redemption or conversion.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surrender of depositary receipts at the principal office of the preferred stock depositary, upon payment of any unpaid amount due the preferred stock depositary, and subject to the terms of the deposit agreement, the owner of the depositary shares evidenced by the depositary receipts is entitled to delivery of the number of whole shares of preferred stock and all money and other property, if any, represented by the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preferred stock depositary will deliver to the holder at the same time a new depositary receipt evidencing the excess number of depositary shares. Holders of preferred stock that are withdrawn will not be entitled to deposit the shares that have been withdrawn under the deposit agreement or to receive depositary receipts.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and the preferred stock depositary may at any time agree to amend the form of depositary receipt and any provision of the deposit agreement. However, any amendment that materially and adversely alters the rights of holders of depositary shares will not be effective unless the amendment has been approved by the holders of at least a majority of the depositary shares then outstanding. The deposit agreement may be terminated by us or by the preferred stock depositary only if all outstanding shares have been redeemed or if a final distribution in respect of the underlying preferred stock has been made to the holders of the depositary shares in connection with our liquidation, dissolution or winding up.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Preferred Stock Depositary</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will pay all charges of the preferred stock depositary including charges in connection with the initial deposit of the preferred stock, the initial issuance of the depositary receipts, the distribution of information to the holders of depositary receipts with respect to matters on which preference stock is entitled to vote, withdrawals of the preferred stock by the holders of depositary receipts or redemption or conversion of the preferred stock, except for taxes (including transfer taxes, if any) and other governmental charges and any other charges expressly provided in the deposit agreement to be at the expense of holders of depositary receipts or persons depositing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Neither we nor the preferred stock depositary will be liable if either of us is prevented or delayed by law or any circumstance beyond our control in performing any obligations under the deposit agreement. The obligations of the preferred stock depositary under the deposit agreement are limited to performing its duties under the agreement without negligence or bad faith. Our obligations under the deposit agreement are limited to performing our duties in good faith. Neither we nor the preferred stock depositary is obligated to prosecute or defend any legal proceeding in respect of any depositary shares or preferred stock unless satisfactory indemnity is furnished. We and the preferred stock depositary may rely on advice of or information from counsel, accountants or other persons that they believe to be competent and on documents that they believe to be genuine.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preferred stock depositary may resign at any time or be removed by us, effective upon the acceptance by its successor of its appointment. If we have not appointed a successor preferred stock depositary and the successor depositary has not accepted its appointment within 60 days after the preferred stock depositary delivered a resignation notice to us, the preferred stock depositary may terminate the deposit agreement. See “—Amendment and Termination of the Deposit Agreement”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 OF RGA</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issue warrants to purchase debt or equity securities. We may issue warrants independently or as part of a unit with other securities, including, without limitation, preferred securities issued by the RGA trusts. Warrants sold with other securities as a unit may be attached to or separate from the other securities. We will issue warrants under warrant agreements to be entered into between us and a warrant agent that we will name in the applicable prospectus supplement or other offering material.</w:t>
      </w:r>
    </w:p>
    <w:p>
      <w:pPr>
        <w:spacing w:after="0" w:line="18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prospectus supplement or other offering material relating to any warrants we are offering will include specific terms relating to the offering, including a description of any other securities sold together with the warrants. These terms will include some or all of the following:</w:t>
      </w:r>
    </w:p>
    <w:p>
      <w:pPr>
        <w:spacing w:after="0" w:line="5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prices of the warrants may be payable;</w:t>
      </w:r>
    </w:p>
    <w:p>
      <w:pPr>
        <w:spacing w:after="0" w:line="130"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common stock, preferred stock or other securities or rights, including rights to receive payment in cash or securities based on the value, rate or price of one or more specified commodities, currencies or indices, purchasable upon exercise of the warrants and procedures by which those numbers may be adjusted;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exercise price of the warrants and the currency or currencies, including composite currencies, in which such price is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 as a unit;</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transferability, exchange, exercise or redemption of the warrants.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Warrants issued for securities other than our debt securities, common stock, preferred stock or the preferred securities of an RGA trust will not be exercisable until at least one year from the date of sale of the warrant.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urge you to read the applicable prospectus supplement or other offering material that will describe the material terms of the warrants we are offering under this prospectus, as well as the complete warrant agreement, including the form of warrant certificate, because they, and not our summaries and descriptions, will define your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rights as holders of the warrants. We will incorporate by reference into the registration statement of which this prospectus is a part the form of warrant agreement that describes the terms of the warrants we are offering from reports we file with the SEC as described under the heading “Where You Can Find More Information” above.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 OF RGA</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may issue purchase contracts, including contracts obligating holders to purchase from us, and us to sell to the holders, a number or amount of debt securities, common stock, preferred stock or depositary shares or warrants or trust preferred securities of an RGA trust at a future date or dates. The price per equity security and the number of securities may be fixed at the time the purchase contracts are issued or may be determined by reference to a specific formula stated in the purchase contracts. The purchase contracts may require us to make periodic payments to the holders of the purchase contracts. These payments may be unsecured or prefunded on some basis to be specified in the applicable prospectus supplement or other offering material.</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prospectus supplement or other offering material relating to any purchase contracts we are offering will specify the material terms of the purchase contracts and any applicable pledge or depository arrangements, including one or more of the following:</w:t>
      </w:r>
    </w:p>
    <w:p>
      <w:pPr>
        <w:spacing w:after="0" w:line="76" w:lineRule="exact"/>
        <w:rPr>
          <w:sz w:val="20"/>
          <w:szCs w:val="20"/>
          <w:color w:val="auto"/>
        </w:rPr>
      </w:pPr>
    </w:p>
    <w:p>
      <w:pPr>
        <w:ind w:left="900" w:right="44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stated amount that a holder will be obligated to pay under the purchase contract in order to purchase our debt securities, common stock, preferred stock, depositary shares or warrants, or trust preferred securities of an RGA Trust or the formula by which such amount shall be determined.</w:t>
      </w:r>
    </w:p>
    <w:p>
      <w:pPr>
        <w:spacing w:after="0" w:line="86" w:lineRule="exact"/>
        <w:rPr>
          <w:rFonts w:ascii="Arial" w:cs="Arial" w:eastAsia="Arial" w:hAnsi="Arial"/>
          <w:sz w:val="18"/>
          <w:szCs w:val="18"/>
          <w:color w:val="auto"/>
        </w:rPr>
      </w:pPr>
    </w:p>
    <w:p>
      <w:pPr>
        <w:jc w:val="both"/>
        <w:ind w:left="900" w:right="22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settlement date or dates on which the holder will be obligated to purchase such securities. The prospectus supplement will specify whether the occurrence of any events may cause the settlement date to occur on an earlier date and the terms on which an early settlement would occur.</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events, if any, that will cause our obligations and the obligations of the holder under the purchase contract to terminate.</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settlement rate, which is a number that, when multiplied by the stated amount of a purchase contract, determines the number of securities that we or an RGA trust will be obligated to sell and a holder will be obligated to purchase under that purchase contract upon payment of the stated amount of that purchase contract. The settlement rate may be determined by the application of a formula specified in the prospectus supplement. If a formula is specified, it may be based on the market price of such securities over a specified period or it may be based on some other reference statistic.</w:t>
      </w:r>
    </w:p>
    <w:p>
      <w:pPr>
        <w:spacing w:after="0" w:line="93"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will be issued separately or as part of units consisting of a purchase contract and an underlying security with an aggregate principal amount equal to the stated amount. Any underlying securities will be pledged by the holder to secure its obligations under a purchase contract.</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type of underlying security, if any, that is pledged by the holder to secure its obligations under a purchase contract. Underlying securities may be our debt securities, depositary shares, preferred securities, common stock, warrants or debt obligations, trust preferred securities of an RGA trust or government securities.</w:t>
      </w:r>
    </w:p>
    <w:p>
      <w:pPr>
        <w:spacing w:after="0" w:line="86"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terms of the pledge arrangement relating to any underlying securities, including the terms on which distributions or payments of interest and principal on any underlying securities will be retained by a collateral agent, delivered to us or be distributed to the holder.</w:t>
      </w:r>
    </w:p>
    <w:p>
      <w:pPr>
        <w:spacing w:after="0" w:line="51" w:lineRule="exact"/>
        <w:rPr>
          <w:rFonts w:ascii="Arial" w:cs="Arial" w:eastAsia="Arial" w:hAnsi="Arial"/>
          <w:sz w:val="17"/>
          <w:szCs w:val="17"/>
          <w:color w:val="auto"/>
        </w:rPr>
      </w:pPr>
    </w:p>
    <w:p>
      <w:pPr>
        <w:ind w:left="900" w:right="18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 fee may be calculated as a percentage of the stated amount of the purchase contract or otherwise.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urge you to read the applicable prospectus supplement or other offering material that will describe the material terms of the purchase contracts that we are offering under this prospectus, as well as the instruments that contain the terms of any securities that are subject to those purchase contracts, because they, and not our summaries and descriptions, will define your rights as holders of the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as described under the heading “Where You Can Find More Information” above.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specified in the applicable prospectus supplement or other offering material, 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prospectus supplement or other offering material will describe:</w:t>
      </w:r>
    </w:p>
    <w:p>
      <w:pPr>
        <w:spacing w:after="0" w:line="77" w:lineRule="exact"/>
        <w:rPr>
          <w:sz w:val="20"/>
          <w:szCs w:val="20"/>
          <w:color w:val="auto"/>
        </w:rPr>
      </w:pPr>
    </w:p>
    <w:p>
      <w:pPr>
        <w:ind w:left="900" w:right="2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urge you to read the applicable prospectus supplement or other offering material that will describe the material terms of the units that we are offering under this prospectus, as well as the complete instruments that contain the terms of the securities comprising the units, because they, and not our summaries and descriptions, will define your rights as holders of the units.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as described under the heading “Where You Can Find More Information” above.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SECURITIES OF THE RGA TRUSTS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RGA trust may issue, from time to time, one series of preferred securities having terms described in the prospectus supplement or other offering material. Preferred securities may be issued either independently or as part of a unit with other securities, including, without limitation, warrants to purchase common stock of RGA. Preferred securities sold with other securities as a unit may be attached to or separate from the other securities. The proceeds from the sale of each trust’s preferred and common securities will be used by such trust to purchase a series of junior subordinated debt securities issued by RGA. The junior subordinated debt securities will be held in trust by the trust’s property trustee for the benefit of the holders of such preferred and common securities. Each amended and restated trust agreement has been or will be qualified as an indenture under the Trust Indenture Act. The property trustee for each trust, The Bank of New York Mellon Trust Company, N.A., as successor to The Bank of New York, an independent trustee, will act as indenture trustee for the preferred securities for purposes of compliance with the provisions of the Trust Indenture Act. The preferred securities will have the terms, including distributions, redemption, voting, liquidation rights, maturity date or dates and the other preferred, deferred or other special rights or restrictions as are established by the administrative trustees in accordance with the applicable amended and restated trust agreement or as are set forth in the amended and restated trust agreement or made part of the amended and restated trust agreement by the Trust Indenture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Such terms, rights and restrictions will mirror the terms of the junior subordinated debt securities held by the applicable trust and will be described in the applicable prospectus supplement or other offering material.</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preferred securities offered by the prospectus will be guaranteed by us to the extent set forth below under “Description of the Preferred Securities Guarantees of RGA.” The guarantee issued by us to each RGA trust, when taken together with our obligations under the junior subordinated debt securities issued to any RGA trust and under the applicable indenture and any applicable supplemental indentures, and our obligations under each amended and restated trust agreement, including the obligation to pay expenses of each RGA trust, will provide a full and unconditional guarantee by us of amounts due on the preferred securities issued by each RGA trust. The payment terms of the preferred securities will be the same as the junior subordinated debt securities issued to the applicable RGA trust by us.</w:t>
      </w:r>
    </w:p>
    <w:p>
      <w:pPr>
        <w:spacing w:after="0" w:line="15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amended and restated trust agreement authorizes the administrative trustees to issue on behalf of the applicable trust one series of common securities having terms, including distributions, redemption, voting and liquidation rights, and restrictions that are established by the administrative trustees in accordance with the amended and restated trust agreement or that are otherwise set forth in the amended and restated trust agreement. The terms of the common securities issued by each RGA trust will be substantially identical to the terms of the preferred securities issued by the RGA trust. The common securities will rank equally, and payments will be made proportionately, with the preferred securities of that trust. However, if an event of default under the amended and restated trust agreement of the RGA trust has occurred and is continuing, the cash distributions and liquidation, redemption and other amounts payable on the common securities will be subordinated to the preferred securities in right of payment. The common securities will also carry the right to vote and to appoint, remove or replace any of the trustees of the RGA trust. RGA will own, directly or indirectly, all of the common securities of each RGA trust.</w:t>
      </w:r>
    </w:p>
    <w:p>
      <w:pPr>
        <w:spacing w:after="0" w:line="12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financial statements of any RGA trust that issues preferred securities will be reflected in our consolidated financial statements with the preferred securities shown as company-obligated mandatorily-redeemable preferred securities of a subsidiary trust under “minority interest.” We will include in a footnote to our audited consolidated financial statements, statements that the applicable RGA trust is wholly-owned by us and that the sole asset of the RGA trust is the junior subordinated debt securities, indicating the principal amount, interest rate and maturity date of the junior subordinated debt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Certain Rights by Holders of Preferred Securities</w:t>
      </w:r>
    </w:p>
    <w:p>
      <w:pPr>
        <w:spacing w:after="0" w:line="12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an event of default occurs, and is continuing, under the amended and restated trust agreement of either RGA trust, the holders of the preferred securities of that trust may rely on the property trustee to enforce its rights as a holder of the subordinated debt securities against RGA. Additionally, those who together hold a majority of the aggregate stated liquidation amount of an RGA trust’s preferred securities will have the right to:</w:t>
      </w:r>
    </w:p>
    <w:p>
      <w:pPr>
        <w:spacing w:after="0" w:line="5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the time, method and place of conducting any proceeding for any remedy available to the property trustee; or</w:t>
      </w:r>
    </w:p>
    <w:p>
      <w:pPr>
        <w:spacing w:after="0" w:line="130"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direct the exercise of any trust or power that the property trustee holds under the amended and restated trust agreement, including the right to direct the property trustee to exercise the remedies available to it as a holder of the junior subordinated debt securities.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such a default occurs and the event is attributable to RGA’s failure to pay interest or principal on the junior subordinated debt securities when due, including any payment on redemption, and this debt payment failure is continuing, a preferred securities holder of the trust may directly institute a proceeding for the enforcement of this payment. Such a proceeding will be limited, however, to enforcing the payment of this principal or interest only up to the value of the aggregate liquidation amount of the holder’s preferred securities as determined after the due date specified in the applicable series of junior subordinated debt securities. RGA will be subrogated to the holder’s rights under the applicable amended and restated trust agreement to the extent of any payment it makes to the holder in connection with such a direct action, and RGA may set off against any such payment that it makes under the applicable preferred securities guarantee.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PREFERRED SECURITIES GUARANTEES OF RGA</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Set forth below is a summary of information concerning the guarantees that will be executed and delivered by us for the benefit of the holders, from time to time, of preferred securities. Summaries of any other terms of any guarantee that are issued will be set forth in the applicable prospectus supplement or other offering material. Each guarantee has been or will be qualified as an indenture under the Trust Indenture Act. Unless otherwise specified in the applicable prospectus supplement or other offering material, The Bank of New York Mellon Trust Company, N.A., as successor to The Bank of New York will act as the preferred securities guarantee trustee. The terms of each guarantee will be set forth in the guarantee and will include the terms made part of the guarantee by the Trust Indenture Act and will be available as described under the heading “Where You Can Find More Information” on page 2.</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specified in the applicable prospectus supplement or other offering material, we will agree, to the extent set forth in each guarantee, to pay in full to the holders of the preferred securities, the payments and distributions to be made with respect to the preferred securities, except to the extent paid by the applicable RGA trust, as and when due, regardless of any defense, right of set-off or counterclaim which the RGA trust may have or assert. The following payments or distributions with respect to the preferred securities, to the extent not paid by the RGA trust and to the extent that such RGA trust has funds available for these payments or distributions, will be subject to the guarantee:</w:t>
      </w:r>
    </w:p>
    <w:p>
      <w:pPr>
        <w:spacing w:after="0" w:line="94" w:lineRule="exact"/>
        <w:rPr>
          <w:sz w:val="20"/>
          <w:szCs w:val="20"/>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accrued and unpaid distributions that are required to be paid on the preferred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redemption price for any preferred securities called for redemption by the RGA trust;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upon a voluntary or involuntary dissolution, winding-up or termination of the RGA trust, other than in connection with the distribution of junior subordinated debt securities to the holders of preferred securities in exchange for preferred securities or the redemption of all of the preferred securities upon maturity or redemption of the subordinated debt securities, the lesser of:</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the liquidation amount and all accrued and unpaid distributions on the preferred securities to the date of payment,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assets of the RGA trust remaining for distribution to holders of the preferred securities in liquidation of the RGA trust.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may satisfy our obligation to make a guarantee payment by making a direct payment of the required amounts to the holders of preferred securities or by causing the applicable RGA trust to pay the amounts to the holders.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Each guarantee will not apply to any payment of distributions except to the extent the applicable RGA trust has funds available to make the payment. If we do not make interest or principal payments on the junior subordinated debt securities purchased by the RGA trust, the RGA trust will not pay distributions on the preferred securities issued by the RGA trust and will not have funds available to make the payments.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RGA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otherwise specified in the applicable prospectus supplement or other offering material, in each guarantee of the payment obligations of an RGA trust with respect to preferred securities, we will covenant that, so long as any preferred securities issued by the RGA trust remain outstanding, if there has occurred any event which would constitute an event of default under the guarantee or under the amended and restated trust agreement of the RGA trust, then RGA will not:</w:t>
      </w:r>
    </w:p>
    <w:p>
      <w:pPr>
        <w:spacing w:after="0" w:line="92" w:lineRule="exact"/>
        <w:rPr>
          <w:sz w:val="20"/>
          <w:szCs w:val="20"/>
          <w:color w:val="auto"/>
        </w:rPr>
      </w:pPr>
    </w:p>
    <w:p>
      <w:pPr>
        <w:ind w:left="900" w:right="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declare or pay any dividends on, make any distributions with respect to, or redeem, purchase, acquire or make a liquidation payment with respect to, any of its capital stock, other than:</w:t>
      </w:r>
    </w:p>
    <w:p>
      <w:pPr>
        <w:spacing w:after="0" w:line="6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 dividends or distribution of shares of common stock of RGA;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firstLine="443"/>
        <w:spacing w:after="0" w:line="308" w:lineRule="auto"/>
        <w:tabs>
          <w:tab w:leader="none" w:pos="115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declaration of a non-cash dividend in connection with the implementation of a shareholder rights plan, or the issuance of stock under any such plan in the future, or the redemption or repurchase of any such rights outstanding under a shareholder rights plan; or</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purchases of common stock of RGA related to the rights under any of RGA’s benefits plans for its directors, officers or employees;</w:t>
      </w:r>
    </w:p>
    <w:p>
      <w:pPr>
        <w:spacing w:after="0" w:line="142" w:lineRule="exact"/>
        <w:rPr>
          <w:rFonts w:ascii="Arial" w:cs="Arial" w:eastAsia="Arial" w:hAnsi="Arial"/>
          <w:sz w:val="17"/>
          <w:szCs w:val="17"/>
          <w:color w:val="auto"/>
        </w:rPr>
      </w:pPr>
    </w:p>
    <w:p>
      <w:pPr>
        <w:ind w:left="900" w:right="1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payment of interest, principal or premium, if any, on or repay, repurchase or redeem any debt securities issued or guaranteed by RGA that rank equal with or junior to the subordinated debt securities issued to the applicable RGA trust, other than payments made in order to satisfy RGA’s obligations under the applicable preferred securities guarantee; and</w:t>
      </w:r>
    </w:p>
    <w:p>
      <w:pPr>
        <w:spacing w:after="0" w:line="208"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redeem, purchase or acquire less than all of the debt securities issued to the applicable RGA trust or any of the preferred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Guarantees; Assignment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Except for any changes that do not adversely affect the rights of holders of preferred securities, in which case no consent of the holders will be required, each guarantee of the payment obligations of an RGA trust with respect to preferred securities may be amended only with the prior approval of the holders of at least a majority in aggregate liquidation amount of the outstanding preferred securities of the RGA trust. The manner of obtaining any approval of holders of the preferred securities will be set forth in an accompanying prospectus supplement. All guarantees and agreements contained in a guarantee of the obligations of an RGA trust with respect to preferred securities will bind the successors, assigns, receivers, trustees and representatives of RGA and will inure to the benefit of the holders of the preferred securities of the applicable RGA trust then outstanding.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An event of default under a preferred securities guarantee will occur upon our failure to perform any of our payment or other obligations under the guarantee. The holders of a majority in aggregate liquidation amount of the preferred securities to which the preferred securities guarantee relates will have the right to direct the time, method and place of conducting any proceeding for any remedy available to the preferred securities guarantee trustee with respect to the guarantee or to direct the exercise of any trust or power conferred upon the preferred securities guarantee trustee under the guarantee.</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have failed to make a guarantee payment under a guarantee, a record holder of preferred securities to which the guarantee relates may directly institute a proceeding against us for enforcement of the guarantee for the payment to the record holder of the preferred securities to which the guarantee relates of the principal of or interest on the applicable subordinated debt securities on or after the respective due dates specified in the junior subordinated debt securities, and the amount of the payment will be based on the holder’s proportionate share of the amount due and owing on all of the preferred securities to which the guarantee relates. We have waived any right or remedy to require that any action be brought first against the applicable RGA trust or any other person or entity before proceeding directly against us. The record holder in the case of the issuance of one or more global preferred securities certificates will be The Depository Trust Company, or its nominee, acting at the direction of the beneficial owners of the preferred securities.</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will be required to provide annually to the preferred securities guarantee trustee a statement as to the performance of our obligations under each outstanding preferred securities guarantee and as to any default in our performance.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preferred securities guarantee will terminate as to the preferred securities issued by the applicable RGA trust:</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full payment of the liquidation value or redemption price of all preferred securities of the RGA trust;</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distribution of the junior subordinated debt securities held by the RGA trust to the holders of all of the preferred securities of the RGA trust; or</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full payment of the amounts payable in accordance with the amended and restated trust agreement of the RGA trust upon termination and liquidation of the RGA trust.</w:t>
      </w:r>
    </w:p>
    <w:p>
      <w:pPr>
        <w:spacing w:after="0" w:line="170"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Each preferred securities guarantee will continue to be effective or will be reinstated, as the case may be, if at any time any holder of preferred securities issued by the applicable RGA trust must restore payment of any sums paid under the preferred securities or the preferred securities guarantee.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Guarantees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preferred securities guarantees will constitute our unsecured obligations and, unless otherwise indicated in an applicable prospectus supplement or other offering material, will rank as follows:</w:t>
      </w:r>
    </w:p>
    <w:p>
      <w:pPr>
        <w:spacing w:after="0" w:line="76" w:lineRule="exact"/>
        <w:rPr>
          <w:sz w:val="20"/>
          <w:szCs w:val="20"/>
          <w:color w:val="auto"/>
        </w:rPr>
      </w:pPr>
    </w:p>
    <w:p>
      <w:pPr>
        <w:ind w:left="900" w:right="8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subordinated and junior in right of payment to all of RGA’s present and future liabilities, including subordinated debt securities issued under RGA’s indenture and described above under “Description of Debt Securities of RGA — Subordination,” except those liabilities made equivalent by their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equivalently with:</w:t>
      </w:r>
    </w:p>
    <w:p>
      <w:pPr>
        <w:spacing w:after="0" w:line="117" w:lineRule="exact"/>
        <w:rPr>
          <w:rFonts w:ascii="Arial" w:cs="Arial" w:eastAsia="Arial" w:hAnsi="Arial"/>
          <w:sz w:val="18"/>
          <w:szCs w:val="18"/>
          <w:color w:val="auto"/>
        </w:rPr>
      </w:pPr>
    </w:p>
    <w:p>
      <w:pPr>
        <w:ind w:left="460" w:right="360" w:firstLine="443"/>
        <w:spacing w:after="0" w:line="277" w:lineRule="auto"/>
        <w:tabs>
          <w:tab w:leader="none" w:pos="1153"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most senior preferred or preference stock now or hereafter issued by us and with any guarantee now or hereafter entered into by us in respect of any preferred or preference stock of any of our affiliates;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applicable junior subordinated debt securities;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liabilities or obligations made equivalent by their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to our common stock and any preferred or preference stock or other liabilities made equivalent or subordinate by their terms.</w:t>
      </w:r>
    </w:p>
    <w:p>
      <w:pPr>
        <w:spacing w:after="0" w:line="117"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The terms of the preferred securities provide that each holder of preferred securities by acceptance of the preferred securities agrees to the subordination provisions and other terms of our guarantee relating to the preferred securities.</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Each preferred securities guarantee will constitute a guarantee of payment and not of collection. This means that the guaranteed party may institute a legal proceeding directly against us to enforce its rights under the guarantee without instituting a legal proceeding against any other person or entity.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Preferred Securities Guarantee Trustee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securities guarantee trustee, before the occurrence of a default under a preferred securities guarantee, undertakes to perform only the duties that are specifically set forth in the guarantee and, after a default under a guarantee, will exercise the same degree of care as a prudent individual would exercise in the conduct of his or her own affairs. Subject to this provision, the preferred securities guarantee trustee is under no obligation to exercise any of the powers vested in it by a preferred securities guarantee at the request of any holder of preferred securities to which the guarantee relates unless it is offered reasonable indemnity against the costs, expenses and liabilities that might be incurred by the preferred securities guarantee trustee in exercising any of its powers; but the foregoing shall not relieve the trustee, upon the occurrence of an event of default under such guarantee, from exercising the rights and powers vested in it by such guarantee.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Agreement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pursuant to an agreement as to expenses and liabilities entered into by us and each RGA trust under its amended and restated trust agreement, irrevocably and unconditionally guarantee to each person or entity to whom the trust becomes indebted or liable, the full payment of any costs, expenses or liabilities of the trust, other than obligations of the trust to pay to the holders of the preferred securities or other similar interests in the trust the amounts due to the holders pursuant to the terms of the preferred securities or other similar interests, as the case may be. Third party creditors of the trust may proceed directly against us under the expense agreement, regardless of whether they had notice of the expense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securities guarantees will be governed by and construed in accordance with the internal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OBLIGATIONS UNDER THE JUNIOR SUBORDINATED DEBT SECURITIES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PREFERRED SECURITIES GUARANTEES</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set forth in the amended and restated trust agreements of each RGA trust, the sole purpose of the RGA trusts is to issue the preferred securities and common securities evidencing undivided beneficial interests in the assets of each of the trusts, and to invest the proceeds from such issuance and sale in RGA’s junior subordinated debt securities.</w:t>
      </w:r>
    </w:p>
    <w:p>
      <w:pPr>
        <w:spacing w:after="0" w:line="18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As long as payments of interest and other payments are made when due on the junior subordinated debt securities held by the RGA trusts, such payments will be sufficient to cover distributions and payments due on the preferred securities and common securities because of the following factors:</w:t>
      </w:r>
    </w:p>
    <w:p>
      <w:pPr>
        <w:spacing w:after="0" w:line="29" w:lineRule="exact"/>
        <w:rPr>
          <w:sz w:val="20"/>
          <w:szCs w:val="20"/>
          <w:color w:val="auto"/>
        </w:rPr>
      </w:pPr>
    </w:p>
    <w:p>
      <w:pPr>
        <w:ind w:left="900" w:right="1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amount of such junior subordinated debt securities will be equal to the sum of the aggregate stated liquidation amount of the preferred securities and common securities;</w:t>
      </w:r>
    </w:p>
    <w:p>
      <w:pPr>
        <w:spacing w:after="0" w:line="75"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 rate and the interest and other payment dates on such junior subordinated debt securities will match the distribution rate and distribution and other payment dates for the preferred securities;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RGA shall pay, and the trusts shall not be obligated to pay, directly or indirectly, all costs, expenses, debt, and obligations of the trusts, other than with respect to the preferred securities and common securities;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amended and restated trust agreement of each trust will further provide that the trustees shall not take or cause or permit the trust to, among other things, engage in any activity that is not consistent with the purposes of the applicable trust.</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Payments of distributions, to the extent funds for such payments are available, and other payments due on the preferred securities, to the extent funds for such payments are available, are guaranteed by RGA as and to the extent set forth under “Description of the Preferred Securities Guarantees of RGA.” If RGA does not make interest payments on the junior subordinated debt securities purchased by the applicable trust, it is expected that the applicable trust will not have sufficient funds to pay distributions on the preferred securities and the preferred securities guarantee will not apply, since the preferred securities guarantee covers the payment of distributions and other payments on the preferred securities only if and to the extent that RGA has made a payment of interest or principal on the junior subordinated debt securities held by the applicable trust as its sole asset. However, the preferred securities guarantee, when taken together with RGA’s obligations under the junior subordinated debt securities and the junior subordinated indenture and its obligations under the respective amended and restated trust agreements, including its obligations to pay costs, expenses, debts and liabilities of the trust, other than with respect to the preferred securities and common securities, provide a full and unconditional guarantee, on a subordinated basis, by RGA of amounts due on the preferred securities.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RGA fails to make interest or other payments on the junior subordinated debt securities when due, taking account of any extension period, the amended and restated trust agreement provides a mechanism whereby the holders of the preferred securities affected thereby, using the procedures described in any accompanying prospectus supplement, may direct the property trustee to enforce its rights under the junior subordinated debt securities. If a debt payment failure has occurred and is continuing, a holder of preferred securities may institute a direct action for payment after the respective due date specified in the junior subordinated debt securities. In connection with such direct action, RGA will be subrogated to the rights of such holder of preferred securities under the amended and restated trust agreement to the extent of any payment made by RGA to such holder of preferred securities in such direct action. RGA, under the guarantee, acknowledges that the guarantee trustee shall enforce the guarantee on behalf of the holders of the preferred securities. If RGA fails to make payments under the guarantee, the guarantee provides a mechanism whereby the holders of the preferred securities may direct the trustee to enforce its rights thereunder. Any holder of preferred securities may institute a legal proceeding directly against RGA to enforce the guarantee trustee’s rights under the guarantee without first instituting a legal proceeding against the trust, the guarantee trustee, or any other person or entity.</w:t>
      </w:r>
    </w:p>
    <w:p>
      <w:pPr>
        <w:spacing w:after="0" w:line="16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RGA and each of the RGA trusts believe that the above mechanisms and obligations, taken together, provide a full and unconditional guarantee by RGA on a subordinated basis of payments due on the preferred securities. See “Description of the Preferred Securities Guarantees of RGA,” beginning on page 36.</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any voluntary or involuntary termination, winding-up or liquidation of an RGA trust involving the liquidation of the junior subordinated debt securities, the holders of the preferred securities will be entitled to receive, out of assets held by such RGA trust, the liquidation distribution in cash. Upon our voluntary or involuntary liquidation or bankruptcy, the property trustee, as holder of the junior subordinated debt securities, would be a subordinated creditor of ours. Therefore, the property trustee would be subordinated in right of payment to all of our senior and subordinated debt, but is entitled to receive payment in full of principal and interest before any of our shareholders receive payments or distributions. Since we are the guarantor under the preferred securities guarantees and have agreed to pay for all costs, expenses and liabilities of the RGA trusts other than the obligations of the trusts to pay to holders of the preferred securities the amounts due to the holders pursuant to the terms of the preferred securities, the positions of a holder of the preferred securities and a holder of the junior subordinated debt securities relative to our other creditors and to our shareholders in the event of liquidation or bankruptcy are expected to be substantially the same.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any RGA trust, or any selling security holder may offer or sell these securities to or through one or more underwriters, dealers and agents, or through a combination of any of these methods, or directly to purchasers, on a continuous or delayed basis. We will describe the details of any such offering and the plan of distribution for any securities offering by us, any RGA trust or any selling security holder in a supplement to this prospectus or other offering material.</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Unless otherwise indicated in the applicable prospectus supplement, William L. Hutton, Esq., Executive Vice President, General Counsel and Secretary of RGA, will issue an opinion about the legality of the common stock issued by us, as well as the preferred stock, depositary shares, warrants, purchase contracts and units of RGA under Missouri law, and Bryan Cave LLP will issue an opinion about the legality of the debt securities of RGA and the preferred securities guarantees of RGA. Mr. Hutton is paid a salary and bonus by RGA, participates in certain employee benefit plans of RGA and beneficially owns shares of Common Stock, performance contingent share units and stock appreciation rights. Unless otherwise indicated in the applicable prospectus supplement, Richards, Layton &amp; Finger, P.A., our special Delaware counsel, will issue an opinion about the legality of the trust preferred securities.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financial statements, and the related financial statement schedules, incorporated in this Prospectus by reference from the Company’s Annual Report on Form 10-K, and the effectiveness of Reinsurance Group of America, Incorporated’s internal control over financial reporting have been audited by Deloitte &amp; Touche LLP, an independent registered public accounting firm, as stated in their reports, which are incorporated herein by reference. Such financial statements and financial statement schedules have been so incorporated in reliance upon the reports of such firm given upon their authority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being registered, other than underwriting discounts and commissions: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Trustee Fees</w:t>
            </w:r>
          </w:p>
        </w:tc>
        <w:tc>
          <w:tcPr>
            <w:tcW w:w="2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Miscellaneous</w:t>
            </w: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 and 457(r).</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Because an indeterminate amount of securities are covered by this registration statement, the expenses in connection with the issuance and distribution of securities are not currently determinable.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Officers and Directors.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351.355(1) of the Revised Statutes of Missouri provides that a corporation may indemnify a director, officer, employee or agent of the corporation in any action, suit or proceeding other than an action by or in the right of the corporation, against expenses (including attorneys’ fees), judgments, fines and settlement amounts actually and reasonably incurred by him in connection with such action, suit or proceeding if he acted in good faith and in a manner he reasonably believed to be in or not opposed to the best interests of the corporation and, with respect to any criminal action, had no reasonable cause to believe his conduct was unlawful. Section 351.355(2) provides that the corporation may indemnify any such person in any action or suit by or in the right of the corporation against expenses (including attorneys’ fees) and settlement amounts actually and reasonably incurred by him in connection with the defense or settlement of the action or suit if he acted in good faith and in a manner he reasonably believed to be in or not opposed to the best interests of the corporation, except that he may not be indemnified in respect of any matter in which he has been adjudged liable for negligence or misconduct in the performance of his duty to the corporation, unless authorized by the court. Section 351.355(3) provides that a corporation may indemnify any such person against expenses (including attorneys’ fees) actually and reasonably incurred by him in connection with the action, suit or proceeding if he has been successful in defense of such action, suit or proceeding and if such action, suit or proceeding is one for which the corporation may indemnify him under Section 351.355(1) or (2). Section 351.355(7) provides that a corporation shall have the power to give any further indemnity to any such person, in addition to the indemnity otherwise authorized under Section 351.355, provided such further indemnity is either (i) authorized, directed or provided for in the articles of incorporation of the corporation or any duly adopted amendment thereof or (ii) is authorized, directed or provided for in any by-law or agreement of the corporation which has been adopted by a vote of the stockholders of the corporation, provided that no such indemnity shall indemnify any person from or on account of such person’s conduct which was finally adjudged to have been knowingly fraudulent, deliberately dishonest or willful misconduct.</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Amended and Restated Articles of Incorporation of RGA filed as Exhibit 3.1 to this registration statement contain provisions indemnifying its directors, officers, employees and agents to the extent authorized specifically by Sections 351.355(1), (2), (3) and (7). RGA has entered into indemnification contracts with the officers and directors of RGA. The contracts provide that RGA under certain circumstances may self-insure against directors’ and officers’ liabilities now insured under the policy of insurance referred to below and will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provide indemnity to the fullest extent permitted by law against all expenses (including attorneys’ fees), judgments, fines and settlement amounts, paid or incurred in any action or proceeding, including any act on behalf of RGA, on account of their service as directors or officers of RGA, any subsidiary of RGA or any other company or enterprise when they are serving in such capacities at the request of RGA, excepting only cases where the conduct of such person is adjudged to be knowingly fraudulent, deliberately dishonest or willful misconduct.</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articles of incorporation limit the liability of our directors to us or any of our shareholders for monetary damages for breach of fiduciary duty as a director to the fullest extent permitted under Missouri law.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form of Underwriting Agreement to be filed as Exhibit 1.1 to this registration statement will provide for the mutual indemnification of RGA and any Underwriters, their respective controlling persons, directors and certain of their officers, against certain liabilities, including liabilities under the Securities Act of 1933, as amended.</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RGA maintains a policy of insurance under which the directors and officers are insured, subject to the limits of the policy, against certain losses, as defined in the policy, arising from claims made against such directors and officers by reason of any wrongful acts, as defined in the policy, in their respective capacities as directors or officers.</w:t>
      </w:r>
    </w:p>
    <w:p>
      <w:pPr>
        <w:spacing w:after="0" w:line="18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Under the amended and restated trust agreement of each trust, RGA will agree to indemnify each of the administrative trustees of such trust (or any predecessor trustee for such trust), and to hold harmless such administrative trustee against any loss, damage, claims, liability or expense incurred without negligence or bad faith on its part arising out of or in connection with the acceptance or administration of such trust agreement, including the costs and expenses of defending itself against any claim or liability in connection with the exercise or performance of any of its powers or duties under such trust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registrants hereby undertake:</w:t>
      </w:r>
    </w:p>
    <w:p>
      <w:pPr>
        <w:spacing w:after="0" w:line="117"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160" w:firstLine="1"/>
        <w:spacing w:after="0" w:line="255" w:lineRule="auto"/>
        <w:tabs>
          <w:tab w:leader="none" w:pos="11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920" w:right="460" w:firstLine="1"/>
        <w:spacing w:after="0" w:line="277" w:lineRule="auto"/>
        <w:tabs>
          <w:tab w:leader="none" w:pos="12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(1)(i), (1)(ii) and (1)(iii) of this section do not apply if the information required to be included in a post-</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effective amendment by those paragraphs is contained in reports filed with or furnished to the Commission by the registrants pursuant to</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13 or section 15(d) of the Securities Exchange Act of 1934 that are incorporated by reference in the registration statement, or is contained</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 form of prospectus filed pursuant to Rule 424(b) that is part of the registration statement.</w:t>
      </w:r>
    </w:p>
    <w:p>
      <w:pPr>
        <w:spacing w:after="0" w:line="103" w:lineRule="exact"/>
        <w:rPr>
          <w:sz w:val="20"/>
          <w:szCs w:val="20"/>
          <w:color w:val="auto"/>
        </w:rPr>
      </w:pPr>
    </w:p>
    <w:p>
      <w:pPr>
        <w:ind w:left="460" w:firstLine="4"/>
        <w:spacing w:after="0" w:line="264"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460" w:right="120" w:firstLine="4"/>
        <w:spacing w:after="0" w:line="277"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920" w:right="200" w:firstLine="1"/>
        <w:spacing w:after="0" w:line="277" w:lineRule="auto"/>
        <w:tabs>
          <w:tab w:leader="none" w:pos="121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0" w:firstLine="1"/>
        <w:spacing w:after="0" w:line="287" w:lineRule="auto"/>
        <w:tabs>
          <w:tab w:leader="none" w:pos="12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4" w:lineRule="exact"/>
        <w:rPr>
          <w:rFonts w:ascii="Arial" w:cs="Arial" w:eastAsia="Arial" w:hAnsi="Arial"/>
          <w:sz w:val="16"/>
          <w:szCs w:val="16"/>
          <w:color w:val="auto"/>
        </w:rPr>
      </w:pPr>
    </w:p>
    <w:p>
      <w:pPr>
        <w:ind w:left="460" w:right="180" w:firstLine="4"/>
        <w:spacing w:after="0" w:line="257"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 each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1120" w:hanging="199"/>
        <w:spacing w:after="0"/>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920" w:right="560" w:firstLine="1"/>
        <w:spacing w:after="0" w:line="277" w:lineRule="auto"/>
        <w:tabs>
          <w:tab w:leader="none" w:pos="1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right="140" w:firstLine="1"/>
        <w:spacing w:after="0" w:line="277" w:lineRule="auto"/>
        <w:tabs>
          <w:tab w:leader="none" w:pos="1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
        <w:spacing w:after="0" w:line="257" w:lineRule="auto"/>
        <w:tabs>
          <w:tab w:leader="none" w:pos="7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460" w:right="60" w:firstLine="4"/>
        <w:spacing w:after="0" w:line="271" w:lineRule="auto"/>
        <w:tabs>
          <w:tab w:leader="none" w:pos="7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Insofar as indemnification of liabilities arising under the Securities Act of 1933 may be permitted to directors, officers and controlling persons of the registrants pursuant to the foregoing provisions, or otherwise, each of the registrants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Reinsurance Group of America, Incorporated certifies that it has reasonable grounds to believe that it meets all of the requirements for filing on Form S-3 and has duly caused this registration statement to be signed on its behalf by the undersigned, thereunto duly authorized, in St. Louis, Missouri, on May 24,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REINSURANCE GROUP OF AMERICA,</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C. Larson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Todd C.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Senior Executive Vice President and Chief</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Financial Officer</w:t>
      </w:r>
    </w:p>
    <w:p>
      <w:pPr>
        <w:spacing w:after="0" w:line="2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Todd C. Larson, William L. Hutton, Brian W. Haynes, and each of them (with full power of each to act alone), severally, as his or her true and lawful attorneys-in-fact and agents, with full power of substitution and resubstitution, for him and her and to execute in his or her name, place and stead (individually and in any capacity stated below) any and all amendments to this registration statement (including post-effective amendments), and any additional registration statement filed pursuant to Rule 462(b) under the Securities Act of 1933, as amended,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or any of them, or their substitute or substitutes, may lawfully do or cause to be done by virtue hereof.</w:t>
      </w:r>
    </w:p>
    <w:p>
      <w:pPr>
        <w:spacing w:after="0" w:line="16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behalf of the registrant in the capacities indicated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 Cliff Eason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J. Cliff Eason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Anna Manning</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3"/>
              </w:rPr>
              <w:t>Anna Manning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J. Bartlett</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J. Bartlett</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Arnoud W.A. Boot</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Arnoud W.A. Boot</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John F. Danahy</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89"/>
              </w:rPr>
              <w:t>John F. Danahy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Christine R. Detrick</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3"/>
              </w:rPr>
              <w:t>Christine R. Detrick</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Patricia L. Guinn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5"/>
              </w:rPr>
              <w:t>Patricia L. Guinn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Alan C. Henderson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Alan C. Henderson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Frederick J. Sievert</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Frederick J. Sievert</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Stanley B. Tulin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228"/>
        </w:trPr>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Stanley B. Tulin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Todd C. Larson</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Senior Executive Vice President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24, 2017</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0"/>
              </w:rPr>
              <w:t>Todd C. Larson</w:t>
            </w:r>
          </w:p>
        </w:tc>
        <w:tc>
          <w:tcPr>
            <w:tcW w:w="100" w:type="dxa"/>
            <w:vAlign w:val="bottom"/>
          </w:tcPr>
          <w:p>
            <w:pPr>
              <w:spacing w:after="0"/>
              <w:rPr>
                <w:sz w:val="15"/>
                <w:szCs w:val="15"/>
                <w:color w:val="auto"/>
              </w:rPr>
            </w:pPr>
          </w:p>
        </w:tc>
        <w:tc>
          <w:tcPr>
            <w:tcW w:w="41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Chief Financial Officer (Principal Financial and</w:t>
            </w:r>
          </w:p>
        </w:tc>
        <w:tc>
          <w:tcPr>
            <w:tcW w:w="21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2100" w:type="dxa"/>
            <w:vAlign w:val="bottom"/>
          </w:tcPr>
          <w:p>
            <w:pPr>
              <w:spacing w:after="0"/>
              <w:rPr>
                <w:sz w:val="20"/>
                <w:szCs w:val="20"/>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RGA Capital Trust III and RGA Capital Trust IV certify that they have reasonable grounds to believe that they meet all of the requirements for filing on Form S-3 and have duly caused this registration statement to be signed on their behalf by the undersigned, thereunto duly authorized, in St. Louis, Missouri, on May 24,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RGA CAPITAL TRUST III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Reinsurance Group of America, Incorporated, as Depositor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C. Larson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Todd C.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Senior 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RGA CAPITAL TRUST IV</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Reinsurance Group of America, Incorporated, as Depositor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C. Larson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Todd C.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Senior 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064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0640" w:type="dxa"/>
            <w:vAlign w:val="bottom"/>
          </w:tcPr>
          <w:p>
            <w:pPr>
              <w:ind w:left="300"/>
              <w:spacing w:after="0"/>
              <w:rPr>
                <w:sz w:val="20"/>
                <w:szCs w:val="20"/>
                <w:color w:val="auto"/>
              </w:rPr>
            </w:pPr>
            <w:r>
              <w:rPr>
                <w:rFonts w:ascii="Arial" w:cs="Arial" w:eastAsia="Arial" w:hAnsi="Arial"/>
                <w:sz w:val="18"/>
                <w:szCs w:val="18"/>
                <w:color w:val="auto"/>
                <w:w w:val="92"/>
              </w:rPr>
              <w:t>Amended and Restated Articles of Incorporation of RGA (incorporated by reference to Exhibit 3.1 to RGA’s current report on Form 8-K, filed</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with the SEC on November 25, 2008).</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0640" w:type="dxa"/>
            <w:vAlign w:val="bottom"/>
          </w:tcPr>
          <w:p>
            <w:pPr>
              <w:ind w:left="300"/>
              <w:spacing w:after="0"/>
              <w:rPr>
                <w:sz w:val="20"/>
                <w:szCs w:val="20"/>
                <w:color w:val="auto"/>
              </w:rPr>
            </w:pPr>
            <w:r>
              <w:rPr>
                <w:rFonts w:ascii="Arial" w:cs="Arial" w:eastAsia="Arial" w:hAnsi="Arial"/>
                <w:sz w:val="18"/>
                <w:szCs w:val="18"/>
                <w:color w:val="auto"/>
                <w:w w:val="92"/>
              </w:rPr>
              <w:t>Amended and Restated Bylaws of RGA (incorporated by reference to Exhibit 3.2 to RGA’s current report on Form 8-K, filed with the SEC on</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July 18, 2014).</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0640" w:type="dxa"/>
            <w:vAlign w:val="bottom"/>
          </w:tcPr>
          <w:p>
            <w:pPr>
              <w:ind w:left="300"/>
              <w:spacing w:after="0"/>
              <w:rPr>
                <w:sz w:val="20"/>
                <w:szCs w:val="20"/>
                <w:color w:val="auto"/>
              </w:rPr>
            </w:pPr>
            <w:r>
              <w:rPr>
                <w:rFonts w:ascii="Arial" w:cs="Arial" w:eastAsia="Arial" w:hAnsi="Arial"/>
                <w:sz w:val="18"/>
                <w:szCs w:val="18"/>
                <w:color w:val="auto"/>
                <w:w w:val="92"/>
              </w:rPr>
              <w:t>Indenture, dated as of August 21, 2012, between RGA and The Bank of New York Mellon Trust Company, N.A., as Trustee (incorporated by</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reference to Exhibit 4.1 to RGA’s Current Report on Form 8-K dated August 21, 2012, filed with the SEC on August 21, 2012)</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0640" w:type="dxa"/>
            <w:vAlign w:val="bottom"/>
          </w:tcPr>
          <w:p>
            <w:pPr>
              <w:ind w:left="300"/>
              <w:spacing w:after="0"/>
              <w:rPr>
                <w:sz w:val="20"/>
                <w:szCs w:val="20"/>
                <w:color w:val="auto"/>
              </w:rPr>
            </w:pPr>
            <w:r>
              <w:rPr>
                <w:rFonts w:ascii="Arial" w:cs="Arial" w:eastAsia="Arial" w:hAnsi="Arial"/>
                <w:sz w:val="18"/>
                <w:szCs w:val="18"/>
                <w:color w:val="auto"/>
                <w:w w:val="90"/>
              </w:rPr>
              <w:t>Form of Junior Subordinated Indenture (incorporated by reference to the registrants’ registration statement on Form S-3 (No. 333-176104, 333-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176104-01 and 333-176104-02), filed with the SEC on August 5, 2011).</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Purchase Contract Agreement and Units (including form of related security certificate).*</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Pledge Agreement for Purchase Contract and Units.*</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10640" w:type="dxa"/>
            <w:vAlign w:val="bottom"/>
          </w:tcPr>
          <w:p>
            <w:pPr>
              <w:ind w:left="300"/>
              <w:spacing w:after="0"/>
              <w:rPr>
                <w:sz w:val="20"/>
                <w:szCs w:val="20"/>
                <w:color w:val="auto"/>
              </w:rPr>
            </w:pPr>
            <w:r>
              <w:rPr>
                <w:rFonts w:ascii="Arial" w:cs="Arial" w:eastAsia="Arial" w:hAnsi="Arial"/>
                <w:sz w:val="18"/>
                <w:szCs w:val="18"/>
                <w:color w:val="auto"/>
                <w:w w:val="94"/>
              </w:rPr>
              <w:t>Certificate of Trust of RGA Capital Trust III (incorporated by reference to Exhibit 4.6 to the registrants’ registration statement on Form S-3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(No. 333-108200, 333-108200-01 and 333-108200-02), filed with the SEC on August 25, 2003).</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10640" w:type="dxa"/>
            <w:vAlign w:val="bottom"/>
          </w:tcPr>
          <w:p>
            <w:pPr>
              <w:ind w:left="300"/>
              <w:spacing w:after="0"/>
              <w:rPr>
                <w:sz w:val="20"/>
                <w:szCs w:val="20"/>
                <w:color w:val="auto"/>
              </w:rPr>
            </w:pPr>
            <w:r>
              <w:rPr>
                <w:rFonts w:ascii="Arial" w:cs="Arial" w:eastAsia="Arial" w:hAnsi="Arial"/>
                <w:sz w:val="18"/>
                <w:szCs w:val="18"/>
                <w:color w:val="auto"/>
                <w:w w:val="95"/>
              </w:rPr>
              <w:t>Trust Agreement of RGA Capital Trust III (incorporated by reference to Exhibit 4.7 to the registrants’ registration statement on Form S-3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(No. 333-108200, 333-108200-01 and 333-108200-02), filed with the SEC on August 25, 2003).</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10640" w:type="dxa"/>
            <w:vAlign w:val="bottom"/>
          </w:tcPr>
          <w:p>
            <w:pPr>
              <w:ind w:left="300"/>
              <w:spacing w:after="0"/>
              <w:rPr>
                <w:sz w:val="20"/>
                <w:szCs w:val="20"/>
                <w:color w:val="auto"/>
              </w:rPr>
            </w:pPr>
            <w:r>
              <w:rPr>
                <w:rFonts w:ascii="Arial" w:cs="Arial" w:eastAsia="Arial" w:hAnsi="Arial"/>
                <w:sz w:val="18"/>
                <w:szCs w:val="18"/>
                <w:color w:val="auto"/>
                <w:w w:val="94"/>
              </w:rPr>
              <w:t>Certificate of Trust of RGA Capital Trust IV (incorporated by reference to Exhibit 4.8 to the registrants’ registration statement on Form S-3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(No. 333-108200, 333-108200-01 and 333-108200-02), filed with the SEC on August 25, 2003).</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10640" w:type="dxa"/>
            <w:vAlign w:val="bottom"/>
          </w:tcPr>
          <w:p>
            <w:pPr>
              <w:ind w:left="300"/>
              <w:spacing w:after="0"/>
              <w:rPr>
                <w:sz w:val="20"/>
                <w:szCs w:val="20"/>
                <w:color w:val="auto"/>
              </w:rPr>
            </w:pPr>
            <w:r>
              <w:rPr>
                <w:rFonts w:ascii="Arial" w:cs="Arial" w:eastAsia="Arial" w:hAnsi="Arial"/>
                <w:sz w:val="18"/>
                <w:szCs w:val="18"/>
                <w:color w:val="auto"/>
                <w:w w:val="95"/>
              </w:rPr>
              <w:t>Trust Agreement of RGA Capital Trust IV (incorporated by reference to Exhibit 4.9 to the registrants’ registration statement on Form S-3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(No. 333-108200, 333-108200-01 and 333-108200-02), filed with the SEC on August 25, 2003).</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10640" w:type="dxa"/>
            <w:vAlign w:val="bottom"/>
          </w:tcPr>
          <w:p>
            <w:pPr>
              <w:ind w:left="300"/>
              <w:spacing w:after="0"/>
              <w:rPr>
                <w:sz w:val="20"/>
                <w:szCs w:val="20"/>
                <w:color w:val="auto"/>
              </w:rPr>
            </w:pPr>
            <w:r>
              <w:rPr>
                <w:rFonts w:ascii="Arial" w:cs="Arial" w:eastAsia="Arial" w:hAnsi="Arial"/>
                <w:sz w:val="18"/>
                <w:szCs w:val="18"/>
                <w:color w:val="auto"/>
                <w:w w:val="97"/>
              </w:rPr>
              <w:t>Form of Amended and Restated Trust Agreement of RGA Capital Trust III (including the form of preferred securities) (incorporated by</w:t>
            </w:r>
          </w:p>
        </w:tc>
      </w:tr>
      <w:tr>
        <w:trPr>
          <w:trHeight w:val="216"/>
        </w:trPr>
        <w:tc>
          <w:tcPr>
            <w:tcW w:w="64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92"/>
              </w:rPr>
              <w:t>reference to Exhibit 4.10 to the registrant’s registration statement on Form S-3/A (No. 333-117261, 333-117261-01 and 333-117261-02), filed</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with the SEC on September 10, 2004).</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4.10</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Amended and Restated Trust Agreement of RGA Capital Trust IV (including the form of preferred securities) (included as</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Exhibit 4.9).</w:t>
            </w:r>
          </w:p>
        </w:tc>
      </w:tr>
      <w:tr>
        <w:trPr>
          <w:trHeight w:val="310"/>
        </w:trPr>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4.11</w:t>
            </w:r>
          </w:p>
        </w:tc>
        <w:tc>
          <w:tcPr>
            <w:tcW w:w="10640" w:type="dxa"/>
            <w:vAlign w:val="bottom"/>
          </w:tcPr>
          <w:p>
            <w:pPr>
              <w:ind w:left="300"/>
              <w:spacing w:after="0"/>
              <w:rPr>
                <w:sz w:val="20"/>
                <w:szCs w:val="20"/>
                <w:color w:val="auto"/>
              </w:rPr>
            </w:pPr>
            <w:r>
              <w:rPr>
                <w:rFonts w:ascii="Arial" w:cs="Arial" w:eastAsia="Arial" w:hAnsi="Arial"/>
                <w:sz w:val="18"/>
                <w:szCs w:val="18"/>
                <w:color w:val="auto"/>
                <w:w w:val="93"/>
              </w:rPr>
              <w:t>Form of Preferred Securities Guarantee Agreement (incorporated by reference to Exhibit 4.15 to RGA’s registration statement on Form S-3</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(No. 333-55304, 333-55304-01 and 333-55304-02), filed with the SEC on February 9, 2001).</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4.12</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Senior Debt Security.*</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4.13</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Subordinated Debt Security.*</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4.14</w:t>
            </w:r>
          </w:p>
        </w:tc>
        <w:tc>
          <w:tcPr>
            <w:tcW w:w="10640" w:type="dxa"/>
            <w:vAlign w:val="bottom"/>
          </w:tcPr>
          <w:p>
            <w:pPr>
              <w:ind w:left="300"/>
              <w:spacing w:after="0"/>
              <w:rPr>
                <w:sz w:val="20"/>
                <w:szCs w:val="20"/>
                <w:color w:val="auto"/>
              </w:rPr>
            </w:pPr>
            <w:r>
              <w:rPr>
                <w:rFonts w:ascii="Arial" w:cs="Arial" w:eastAsia="Arial" w:hAnsi="Arial"/>
                <w:sz w:val="18"/>
                <w:szCs w:val="18"/>
                <w:color w:val="auto"/>
              </w:rPr>
              <w:t>Form of Junior Senior Debt Security.*</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4.15</w:t>
            </w:r>
          </w:p>
        </w:tc>
        <w:tc>
          <w:tcPr>
            <w:tcW w:w="10640" w:type="dxa"/>
            <w:vAlign w:val="bottom"/>
          </w:tcPr>
          <w:p>
            <w:pPr>
              <w:ind w:left="300"/>
              <w:spacing w:after="0"/>
              <w:rPr>
                <w:sz w:val="20"/>
                <w:szCs w:val="20"/>
                <w:color w:val="auto"/>
              </w:rPr>
            </w:pPr>
            <w:r>
              <w:rPr>
                <w:rFonts w:ascii="Arial" w:cs="Arial" w:eastAsia="Arial" w:hAnsi="Arial"/>
                <w:sz w:val="18"/>
                <w:szCs w:val="18"/>
                <w:color w:val="auto"/>
                <w:w w:val="94"/>
              </w:rPr>
              <w:t>Form of Preferred Stock — Any amendment to RGA’s Articles of Incorporation authorizing the creation of any series of Preferred Stock or</w:t>
            </w:r>
          </w:p>
        </w:tc>
      </w:tr>
      <w:tr>
        <w:trPr>
          <w:trHeight w:val="216"/>
        </w:trPr>
        <w:tc>
          <w:tcPr>
            <w:tcW w:w="640" w:type="dxa"/>
            <w:vAlign w:val="bottom"/>
          </w:tcPr>
          <w:p>
            <w:pPr>
              <w:spacing w:after="0"/>
              <w:rPr>
                <w:sz w:val="18"/>
                <w:szCs w:val="18"/>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w w:val="91"/>
              </w:rPr>
              <w:t>Depositary Shares representing such shares of Preferred Stock setting forth the rights, preferences and designations thereof will be filed as an</w:t>
            </w:r>
          </w:p>
        </w:tc>
      </w:tr>
      <w:tr>
        <w:trPr>
          <w:trHeight w:val="230"/>
        </w:trPr>
        <w:tc>
          <w:tcPr>
            <w:tcW w:w="640" w:type="dxa"/>
            <w:vAlign w:val="bottom"/>
          </w:tcPr>
          <w:p>
            <w:pPr>
              <w:spacing w:after="0"/>
              <w:rPr>
                <w:sz w:val="20"/>
                <w:szCs w:val="20"/>
                <w:color w:val="auto"/>
              </w:rPr>
            </w:pPr>
          </w:p>
        </w:tc>
        <w:tc>
          <w:tcPr>
            <w:tcW w:w="10640" w:type="dxa"/>
            <w:vAlign w:val="bottom"/>
          </w:tcPr>
          <w:p>
            <w:pPr>
              <w:ind w:left="300"/>
              <w:spacing w:after="0"/>
              <w:rPr>
                <w:sz w:val="20"/>
                <w:szCs w:val="20"/>
                <w:color w:val="auto"/>
              </w:rPr>
            </w:pPr>
            <w:r>
              <w:rPr>
                <w:rFonts w:ascii="Arial" w:cs="Arial" w:eastAsia="Arial" w:hAnsi="Arial"/>
                <w:sz w:val="18"/>
                <w:szCs w:val="18"/>
                <w:color w:val="auto"/>
              </w:rPr>
              <w:t>exhibit subsequently included or incorporated by reference herein.</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4.16</w:t>
            </w:r>
          </w:p>
        </w:tc>
        <w:tc>
          <w:tcPr>
            <w:tcW w:w="10660" w:type="dxa"/>
            <w:vAlign w:val="bottom"/>
          </w:tcPr>
          <w:p>
            <w:pPr>
              <w:ind w:left="300"/>
              <w:spacing w:after="0"/>
              <w:rPr>
                <w:sz w:val="20"/>
                <w:szCs w:val="20"/>
                <w:color w:val="auto"/>
              </w:rPr>
            </w:pPr>
            <w:r>
              <w:rPr>
                <w:rFonts w:ascii="Arial" w:cs="Arial" w:eastAsia="Arial" w:hAnsi="Arial"/>
                <w:sz w:val="18"/>
                <w:szCs w:val="18"/>
                <w:color w:val="auto"/>
              </w:rPr>
              <w:t>Form of Deposit Agreement for Depositary Shares (including form of depositary receipt).*</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4.17</w:t>
            </w:r>
          </w:p>
        </w:tc>
        <w:tc>
          <w:tcPr>
            <w:tcW w:w="10660" w:type="dxa"/>
            <w:vAlign w:val="bottom"/>
          </w:tcPr>
          <w:p>
            <w:pPr>
              <w:ind w:left="300"/>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660" w:type="dxa"/>
            <w:vAlign w:val="bottom"/>
          </w:tcPr>
          <w:p>
            <w:pPr>
              <w:ind w:left="300"/>
              <w:spacing w:after="0"/>
              <w:rPr>
                <w:sz w:val="20"/>
                <w:szCs w:val="20"/>
                <w:color w:val="auto"/>
              </w:rPr>
            </w:pPr>
            <w:r>
              <w:rPr>
                <w:rFonts w:ascii="Arial" w:cs="Arial" w:eastAsia="Arial" w:hAnsi="Arial"/>
                <w:sz w:val="18"/>
                <w:szCs w:val="18"/>
                <w:color w:val="auto"/>
              </w:rPr>
              <w:t>Opinion of William L. Hutton, Esq.</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10660" w:type="dxa"/>
            <w:vAlign w:val="bottom"/>
          </w:tcPr>
          <w:p>
            <w:pPr>
              <w:ind w:left="300"/>
              <w:spacing w:after="0"/>
              <w:rPr>
                <w:sz w:val="20"/>
                <w:szCs w:val="20"/>
                <w:color w:val="auto"/>
              </w:rPr>
            </w:pPr>
            <w:r>
              <w:rPr>
                <w:rFonts w:ascii="Arial" w:cs="Arial" w:eastAsia="Arial" w:hAnsi="Arial"/>
                <w:sz w:val="18"/>
                <w:szCs w:val="18"/>
                <w:color w:val="auto"/>
              </w:rPr>
              <w:t>Opinion of Bryan Cave LLP.</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10660" w:type="dxa"/>
            <w:vAlign w:val="bottom"/>
          </w:tcPr>
          <w:p>
            <w:pPr>
              <w:ind w:left="300"/>
              <w:spacing w:after="0"/>
              <w:rPr>
                <w:sz w:val="20"/>
                <w:szCs w:val="20"/>
                <w:color w:val="auto"/>
              </w:rPr>
            </w:pPr>
            <w:r>
              <w:rPr>
                <w:rFonts w:ascii="Arial" w:cs="Arial" w:eastAsia="Arial" w:hAnsi="Arial"/>
                <w:sz w:val="18"/>
                <w:szCs w:val="18"/>
                <w:color w:val="auto"/>
              </w:rPr>
              <w:t>Opinion of Richards, Layton &amp; Finger, P.A. (RGA Capital Trust III and RGA Capital Trust IV).</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12.1</w:t>
            </w:r>
          </w:p>
        </w:tc>
        <w:tc>
          <w:tcPr>
            <w:tcW w:w="10660" w:type="dxa"/>
            <w:vAlign w:val="bottom"/>
          </w:tcPr>
          <w:p>
            <w:pPr>
              <w:ind w:left="300"/>
              <w:spacing w:after="0"/>
              <w:rPr>
                <w:sz w:val="20"/>
                <w:szCs w:val="20"/>
                <w:color w:val="auto"/>
              </w:rPr>
            </w:pPr>
            <w:r>
              <w:rPr>
                <w:rFonts w:ascii="Arial" w:cs="Arial" w:eastAsia="Arial" w:hAnsi="Arial"/>
                <w:sz w:val="18"/>
                <w:szCs w:val="18"/>
                <w:color w:val="auto"/>
              </w:rPr>
              <w:t>Computation of Ratios of Earnings to Fixed Charges.</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23.1</w:t>
            </w:r>
          </w:p>
        </w:tc>
        <w:tc>
          <w:tcPr>
            <w:tcW w:w="106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23.2</w:t>
            </w:r>
          </w:p>
        </w:tc>
        <w:tc>
          <w:tcPr>
            <w:tcW w:w="10660" w:type="dxa"/>
            <w:vAlign w:val="bottom"/>
          </w:tcPr>
          <w:p>
            <w:pPr>
              <w:ind w:left="300"/>
              <w:spacing w:after="0"/>
              <w:rPr>
                <w:sz w:val="20"/>
                <w:szCs w:val="20"/>
                <w:color w:val="auto"/>
              </w:rPr>
            </w:pPr>
            <w:r>
              <w:rPr>
                <w:rFonts w:ascii="Arial" w:cs="Arial" w:eastAsia="Arial" w:hAnsi="Arial"/>
                <w:sz w:val="18"/>
                <w:szCs w:val="18"/>
                <w:color w:val="auto"/>
              </w:rPr>
              <w:t>Consent of William L. Hutton, Esq. (contained in Exhibit 5.1).</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23.3</w:t>
            </w:r>
          </w:p>
        </w:tc>
        <w:tc>
          <w:tcPr>
            <w:tcW w:w="10660" w:type="dxa"/>
            <w:vAlign w:val="bottom"/>
          </w:tcPr>
          <w:p>
            <w:pPr>
              <w:ind w:left="300"/>
              <w:spacing w:after="0"/>
              <w:rPr>
                <w:sz w:val="20"/>
                <w:szCs w:val="20"/>
                <w:color w:val="auto"/>
              </w:rPr>
            </w:pPr>
            <w:r>
              <w:rPr>
                <w:rFonts w:ascii="Arial" w:cs="Arial" w:eastAsia="Arial" w:hAnsi="Arial"/>
                <w:sz w:val="18"/>
                <w:szCs w:val="18"/>
                <w:color w:val="auto"/>
              </w:rPr>
              <w:t>Consent of Bryan Cave LLP (contained in Exhibit 5.2)</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23.4</w:t>
            </w:r>
          </w:p>
        </w:tc>
        <w:tc>
          <w:tcPr>
            <w:tcW w:w="10660" w:type="dxa"/>
            <w:vAlign w:val="bottom"/>
          </w:tcPr>
          <w:p>
            <w:pPr>
              <w:ind w:left="300"/>
              <w:spacing w:after="0"/>
              <w:rPr>
                <w:sz w:val="20"/>
                <w:szCs w:val="20"/>
                <w:color w:val="auto"/>
              </w:rPr>
            </w:pPr>
            <w:r>
              <w:rPr>
                <w:rFonts w:ascii="Arial" w:cs="Arial" w:eastAsia="Arial" w:hAnsi="Arial"/>
                <w:sz w:val="18"/>
                <w:szCs w:val="18"/>
                <w:color w:val="auto"/>
              </w:rPr>
              <w:t>Consent of Richards, Layton &amp; Finger, P.A. (contained in Exhibit 5.3).</w:t>
            </w:r>
          </w:p>
        </w:tc>
      </w:tr>
      <w:tr>
        <w:trPr>
          <w:trHeight w:val="324"/>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24.1</w:t>
            </w:r>
          </w:p>
        </w:tc>
        <w:tc>
          <w:tcPr>
            <w:tcW w:w="10660" w:type="dxa"/>
            <w:vAlign w:val="bottom"/>
          </w:tcPr>
          <w:p>
            <w:pPr>
              <w:ind w:left="300"/>
              <w:spacing w:after="0"/>
              <w:rPr>
                <w:sz w:val="20"/>
                <w:szCs w:val="20"/>
                <w:color w:val="auto"/>
              </w:rPr>
            </w:pPr>
            <w:r>
              <w:rPr>
                <w:rFonts w:ascii="Arial" w:cs="Arial" w:eastAsia="Arial" w:hAnsi="Arial"/>
                <w:sz w:val="18"/>
                <w:szCs w:val="18"/>
                <w:color w:val="auto"/>
              </w:rPr>
              <w:t>Power of Attorney (contained in signature pages).</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25.1</w:t>
            </w:r>
          </w:p>
        </w:tc>
        <w:tc>
          <w:tcPr>
            <w:tcW w:w="10660" w:type="dxa"/>
            <w:vAlign w:val="bottom"/>
          </w:tcPr>
          <w:p>
            <w:pPr>
              <w:ind w:left="300"/>
              <w:spacing w:after="0"/>
              <w:rPr>
                <w:sz w:val="20"/>
                <w:szCs w:val="20"/>
                <w:color w:val="auto"/>
              </w:rPr>
            </w:pPr>
            <w:r>
              <w:rPr>
                <w:rFonts w:ascii="Arial" w:cs="Arial" w:eastAsia="Arial" w:hAnsi="Arial"/>
                <w:sz w:val="18"/>
                <w:szCs w:val="18"/>
                <w:color w:val="auto"/>
                <w:w w:val="91"/>
              </w:rPr>
              <w:t>Statement of Eligibility under the Trust Indenture Act of 1939, as amended, of The Bank of New York Mellon Trust Company, N.A., as Trustee</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under the Indenture.</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25.2</w:t>
            </w:r>
          </w:p>
        </w:tc>
        <w:tc>
          <w:tcPr>
            <w:tcW w:w="10660" w:type="dxa"/>
            <w:vAlign w:val="bottom"/>
          </w:tcPr>
          <w:p>
            <w:pPr>
              <w:ind w:left="300"/>
              <w:spacing w:after="0"/>
              <w:rPr>
                <w:sz w:val="20"/>
                <w:szCs w:val="20"/>
                <w:color w:val="auto"/>
              </w:rPr>
            </w:pPr>
            <w:r>
              <w:rPr>
                <w:rFonts w:ascii="Arial" w:cs="Arial" w:eastAsia="Arial" w:hAnsi="Arial"/>
                <w:sz w:val="18"/>
                <w:szCs w:val="18"/>
                <w:color w:val="auto"/>
                <w:w w:val="91"/>
              </w:rPr>
              <w:t>Statement of Eligibility under the Trust Indenture Act of 1939, as amended, of The Bank of New York Mellon Trust Company, N.A., as Trustee</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under the Junior Subordinated Indenture.</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25.3</w:t>
            </w:r>
          </w:p>
        </w:tc>
        <w:tc>
          <w:tcPr>
            <w:tcW w:w="10660" w:type="dxa"/>
            <w:vAlign w:val="bottom"/>
          </w:tcPr>
          <w:p>
            <w:pPr>
              <w:ind w:left="300"/>
              <w:spacing w:after="0"/>
              <w:rPr>
                <w:sz w:val="20"/>
                <w:szCs w:val="20"/>
                <w:color w:val="auto"/>
              </w:rPr>
            </w:pPr>
            <w:r>
              <w:rPr>
                <w:rFonts w:ascii="Arial" w:cs="Arial" w:eastAsia="Arial" w:hAnsi="Arial"/>
                <w:sz w:val="18"/>
                <w:szCs w:val="18"/>
                <w:color w:val="auto"/>
                <w:w w:val="97"/>
              </w:rPr>
              <w:t>Statement of Eligibility under the Trust Indenture Act of 1939, as amended, of The Bank of New York Mellon Trust Company, N.A., as</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w w:val="91"/>
              </w:rPr>
              <w:t>Guarantee Trustee of the Preferred Securities Guarantee of RGA for the benefit of the holders of Preferred Securities of RGA Capital Trust III.</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25.4</w:t>
            </w:r>
          </w:p>
        </w:tc>
        <w:tc>
          <w:tcPr>
            <w:tcW w:w="10660" w:type="dxa"/>
            <w:vAlign w:val="bottom"/>
          </w:tcPr>
          <w:p>
            <w:pPr>
              <w:ind w:left="300"/>
              <w:spacing w:after="0"/>
              <w:rPr>
                <w:sz w:val="20"/>
                <w:szCs w:val="20"/>
                <w:color w:val="auto"/>
              </w:rPr>
            </w:pPr>
            <w:r>
              <w:rPr>
                <w:rFonts w:ascii="Arial" w:cs="Arial" w:eastAsia="Arial" w:hAnsi="Arial"/>
                <w:sz w:val="18"/>
                <w:szCs w:val="18"/>
                <w:color w:val="auto"/>
                <w:w w:val="97"/>
              </w:rPr>
              <w:t>Statement of Eligibility under the Trust Indenture Act of 1939, as amended, of The Bank of New York Mellon Trust Company, N.A., as</w:t>
            </w:r>
          </w:p>
        </w:tc>
      </w:tr>
      <w:tr>
        <w:trPr>
          <w:trHeight w:val="216"/>
        </w:trPr>
        <w:tc>
          <w:tcPr>
            <w:tcW w:w="640" w:type="dxa"/>
            <w:vAlign w:val="bottom"/>
          </w:tcPr>
          <w:p>
            <w:pPr>
              <w:spacing w:after="0"/>
              <w:rPr>
                <w:sz w:val="18"/>
                <w:szCs w:val="18"/>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w w:val="95"/>
              </w:rPr>
              <w:t>Guarantee Trustee of the Preferred Securities Guarantee of RGA for the benefit of the holders of the Preferred Securities of RGA Capital</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Trust IV.</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25.5</w:t>
            </w:r>
          </w:p>
        </w:tc>
        <w:tc>
          <w:tcPr>
            <w:tcW w:w="10660" w:type="dxa"/>
            <w:vAlign w:val="bottom"/>
          </w:tcPr>
          <w:p>
            <w:pPr>
              <w:ind w:left="300"/>
              <w:spacing w:after="0"/>
              <w:rPr>
                <w:sz w:val="20"/>
                <w:szCs w:val="20"/>
                <w:color w:val="auto"/>
              </w:rPr>
            </w:pPr>
            <w:r>
              <w:rPr>
                <w:rFonts w:ascii="Arial" w:cs="Arial" w:eastAsia="Arial" w:hAnsi="Arial"/>
                <w:sz w:val="18"/>
                <w:szCs w:val="18"/>
                <w:color w:val="auto"/>
                <w:w w:val="97"/>
              </w:rPr>
              <w:t>Statement of Eligibility under the Trust Indenture Act of 1939, as amended, of The Bank of New York Mellon Trust Company, N.A., as</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Property Trustee under the Amended and Restated Trust Agreement of RGA Capital Trust III.</w:t>
            </w:r>
          </w:p>
        </w:tc>
      </w:tr>
      <w:tr>
        <w:trPr>
          <w:trHeight w:val="31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25.6</w:t>
            </w:r>
          </w:p>
        </w:tc>
        <w:tc>
          <w:tcPr>
            <w:tcW w:w="10660" w:type="dxa"/>
            <w:vAlign w:val="bottom"/>
          </w:tcPr>
          <w:p>
            <w:pPr>
              <w:ind w:left="300"/>
              <w:spacing w:after="0"/>
              <w:rPr>
                <w:sz w:val="20"/>
                <w:szCs w:val="20"/>
                <w:color w:val="auto"/>
              </w:rPr>
            </w:pPr>
            <w:r>
              <w:rPr>
                <w:rFonts w:ascii="Arial" w:cs="Arial" w:eastAsia="Arial" w:hAnsi="Arial"/>
                <w:sz w:val="18"/>
                <w:szCs w:val="18"/>
                <w:color w:val="auto"/>
                <w:w w:val="97"/>
              </w:rPr>
              <w:t>Statement of Eligibility under the Trust Indenture Act of 1939, as amended, of The Bank of New York Mellon Trust Company, N.A., as</w:t>
            </w:r>
          </w:p>
        </w:tc>
      </w:tr>
      <w:tr>
        <w:trPr>
          <w:trHeight w:val="230"/>
        </w:trPr>
        <w:tc>
          <w:tcPr>
            <w:tcW w:w="640" w:type="dxa"/>
            <w:vAlign w:val="bottom"/>
          </w:tcPr>
          <w:p>
            <w:pPr>
              <w:spacing w:after="0"/>
              <w:rPr>
                <w:sz w:val="20"/>
                <w:szCs w:val="20"/>
                <w:color w:val="auto"/>
              </w:rPr>
            </w:pPr>
          </w:p>
        </w:tc>
        <w:tc>
          <w:tcPr>
            <w:tcW w:w="10660" w:type="dxa"/>
            <w:vAlign w:val="bottom"/>
          </w:tcPr>
          <w:p>
            <w:pPr>
              <w:ind w:left="300"/>
              <w:spacing w:after="0"/>
              <w:rPr>
                <w:sz w:val="20"/>
                <w:szCs w:val="20"/>
                <w:color w:val="auto"/>
              </w:rPr>
            </w:pPr>
            <w:r>
              <w:rPr>
                <w:rFonts w:ascii="Arial" w:cs="Arial" w:eastAsia="Arial" w:hAnsi="Arial"/>
                <w:sz w:val="18"/>
                <w:szCs w:val="18"/>
                <w:color w:val="auto"/>
              </w:rPr>
              <w:t>Property Trustee under the Amended and Restated Trust Agreement of RGA Capital Trust 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340" w:hanging="212"/>
        <w:spacing w:after="0" w:line="277"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document to be filed as an exhibit to a report on Form 8-K or Form 10-Q pursuant to Item 601 of Regulation S-K and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Group of America, Incorporated</w:t>
      </w:r>
      <w:r>
        <w:rPr>
          <w:rFonts w:ascii="Arial" w:cs="Arial" w:eastAsia="Arial" w:hAnsi="Arial"/>
          <w:sz w:val="15"/>
          <w:szCs w:val="15"/>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L. Hutton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Reinsurance Group of America,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6548755</wp:posOffset>
            </wp:positionH>
            <wp:positionV relativeFrom="paragraph">
              <wp:posOffset>-121920</wp:posOffset>
            </wp:positionV>
            <wp:extent cx="702945"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 cy="3346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16600 Swingley 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Chesterfield, Missouri 63017-1706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 am Executive Vice President, General Counsel and Secretary of Reinsurance Group of America, Incorporated, a Missouri corporation (the “Company”), and have acted as counsel for the Company in connection with a Registration Statement on Form S-3 (the “Registration Statement”), being filed this date by the Company and by RGA Capital Trust III and RGA Capital Trust IV, each a Delaware statutory trust (each, a “Trust”, and together, the “Trusts”), with the Securities and Exchange Commission (the “Commission”) under the Securities Act of 1933, as amended (the “Act”), relating to: (i) shares of common stock of the Company, par value $0.01 per share (the “Common Stock”); (ii) warrants to purchase Common Stock (the “Common Stock Warrants”); (iii) shares of preferred stock of the Company, par value $0.01 per share (the “Preferred Stock”), which may be represented by depositary shares (the “Depositary Shares”) evidenced by depositary receipts (the “Receipts”); (iv) warrants to purchase Preferred Stock (the “Preferred Stock Warrants”); (v) debt securities of the Company, which may be senior (the “Senior Debt Securities”), subordinated (the “Subordinated Debt Securities”) or junior subordinated (the “Junior Subordinated Debt Securities” and, collectively with the Senior Debt Securities and the Subordinated Debt Securities, the “Debt Securities”); (vi) warrants of the Company to purchase Debt Securities (the “Debt Security Warrants”); (vii) warrants of the Company to purchase other securities (“Other Warrants” and collectively with the Common Stock Warrants, the Preferred Stock Warrants and the Debt Security Warrants, the “Securities Warrants”); (viii) contracts for the purchase and sale of Common Stock, Preferred Stock, Debt Securities, Depositary Shares, Securities Warrants or Trust Preferred Securities (as hereinafter defined) (the “Purchase Contracts”) and (ix) units (the “Units”), consisting of one or more of Common Stock, Preferred Stock, Depositary Shares, Debt Securities, Securities Warrants, Purchase Contracts, Trust Preferred Securities, Guarantees (as hereinafter defined), and debt obligations of third parties, including U.S. Treasury Securities (the “Third Party Debt Securities”). The Registration Statement also relates to the registration under the Act of trust preferred securities of the Trusts (the “Trust Preferred Securities”) and guarantees of the Trust Preferred Securities by the Company (the “Guarantees”).</w:t>
      </w:r>
    </w:p>
    <w:p>
      <w:pPr>
        <w:spacing w:after="0" w:line="17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Common Stock, the Preferred Stock, the Depositary Shares, the Debt Securities, the Securities Warrants, the Purchase Contracts, the Guarantees, the Units and the Trust Preferred Securities are hereinafter referred to collectively as the “Securities.” The Securities may be issued and sold or delivered from time to time by the Company and the Trusts as set forth in the Registration Statement, any amendment thereto, the prospectus contained therein (the “Prospectus”), and supplements to the Prospectus (the “Prospectus Supplements”) filed pursuant to Rule 415 under the Act.</w:t>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9</w:t>
      </w:r>
    </w:p>
    <w:p>
      <w:pPr>
        <w:spacing w:after="0" w:line="143"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Senior Debt Securities and the Subordinated Debt Securities will be issued under an Indenture, dated as of August 21, 2012, by and between the Company and The Bank of New York Mellon Trust Company, N.A., as trustee (the “Indenture Trustee”), as supplemented (the “Indenture”). The Junior Subordinated Debt Securities will be issued under a Junior Subordinated Indenture to be entered into by and between the Company and The Bank of New York Mellon Trust Company, N.A., as trustee (the “Junior Subordinated Indenture Trustee”), as supplemented (the “Junior Subordinated Indenture”). The Indenture and the Junior Subordinated Indenture are hereinafter referred to collectively as the “Indentures.”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Depositary Shares will be issued pursuant to a deposit agreement (the “Deposit Agreement”) between the Company and a depositary agent to be specified therein (the “Depositary Agent”).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Common Stock Warrants will be issued under a common stock warrant agreement (the “Common Stock Warrant Agreement”) between the Company and a common stock warrant agent to be specified therein. The Preferred Stock Warrants will be issued under a preferred stock warrant agreement (the “Preferred Stock Warrant Agreement”) between the Company and a preferred stock warrant agent to be specified therein. Warrants to purchase Senior Debt Securities will be issued under a senior debt security warrant agreement (the “Senior Debt Security Warrant Agreement”) among the Company, a senior debt security warrant agent to be specified therein and the Indenture Trustee. Warrants to purchase Subordinated Debt Securities will be issued under a subordinated debt security warrant agreement (the “Subordinated Debt Security Warrant Agreement”) among the Company, a subordinated debt security warrant agent to be specified therein and the Indenture Trustee. Warrants to purchase Junior Subordinated Debt Securities will be issued under a junior subordinated debt security warrant agreement (the “Junior Subordinated Debt Security Warrant Agreement”) among the Company, a junior subordinated debt security warrant agent to be specified therein and the Junior Subordinated Indenture Trustee. The Other Warrants will be issued under a warrant agreement (the “Other Warrant Agreement”) between the Company, the applicable trustee and a warrant agent to be specified therein. The Common Stock Warrant Agreement, the Preferred Stock Warrant Agreement, the Senior Debt Security Warrant Agreement, the Subordinated Debt Security Warrant Agreement, the Junior Subordinated Debt Security Warrant Agreement and the Other Warrant Agreement are hereinafter referred to collectively as the “Warrant Agreements.” Each party to a Warrant Agreement other than the Company is referred to hereinafter as a “Counterparty.”</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Purchase Contracts will be issued under a purchase contract agreement (the “Purchase Contract Agreement”) between the Company and a purchase contract agent to be specified therein (the “Purchase Contract Agent”).</w:t>
      </w:r>
    </w:p>
    <w:p>
      <w:pPr>
        <w:spacing w:after="0" w:line="170"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The Units will be issued under a unit agreement (the “Unit Agreement”) between the Company and a unit agent to be specified therein (the “Unit Agent”). 2</w:t>
      </w:r>
    </w:p>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9</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Guarantees will be issued pursuant to a guarantee agreement (the “Guarantee Agreement”) between the Company and a guarantee trustee to be specified therein (the “Guarantee Trustee”).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Trust Preferred Securities will be issued pursuant to a trust agreement (the “Trust Agreement”) among the applicable Trust, a trustee to be specified therein (the “Trustee”) and the Company, as depositor.</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herewith, I have examined and relied without investigation as to matters of fact upon the Registration Statement, certificates, statements and results of inquiries of public officials and officers and representatives of the Company, and originals or copies, certified or otherwise identified to my satisfaction of such other documents, corporate records, certificates and instruments as I have deemed necessary or appropriate to enable me to render the opinions expressed herein. I have assumed the genuineness of all signatures on all documents examined by me, the legal competence and capacity of natural persons, the authenticity of documents submitted to me as originals, and the conformity with authentic original documents of all documents submitted to me as copies.</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 also have assumed that: (i) at the time of execution, issuance and delivery of the Receipts, the Deposit Agreement will be the valid and legally binding obligation of the Depositary Agent, enforceable against such party in accordance with its terms; (ii) at the time of execution, authentication, issuance and delivery of the Senior Debt Securities, the Indenture will be the valid and legally binding obligation of the Indenture Trustee, enforceable against such party in accordance with its terms; (iii) at the time of execution, authentication, issuance and delivery of the Subordinated Debt Securities, the Indenture will be the valid and legally binding obligation of the Indenture Trustee, enforceable against such party in accordance with its terms; (iv) at the time of execution, authentication, issuance and delivery of the Junior Subordinated Debt Securities, the Junior Subordinated Indenture will be the valid and legally binding obligation of the Junior Subordinated Indenture Trustee, enforceable against such party in accordance with its terms; (v) at the time of the execution, countersignature, issuance and delivery of any Securities Warrants, the related Warrant Agreement will be the valid and legally binding obligation of each Counterparty thereto, enforceable against such party in accordance with its terms; (vi) at the time of the execution, issuance and delivery of the Purchase Contracts, the Purchase Contract Agreement will be the valid and legally binding obligation of the Purchase Contract Agent, enforceable against such party in accordance with its terms; (vii) at the time of the execution, countersignature, issuance and delivery of the Units, the related Unit Agreement will be the valid and legally binding obligation of the Unit Agent, enforceable against such party in accordance with its terms; (viii) at the time of the execution, countersignature, issuance and delivery of the Trust Preferred Securities, the related Trust Agreement will be the valid and legally binding obligation of the Trusts and the Trustee, enforceable against such party in accordance with its terms and (ix) at the time of the execution, issuance and delivery of the Guarantees, the Guarantee Agreement will be the valid and legally binding obligation of the Guarantee Trustee, enforceable against such party in accordance with its terms.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9</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 have assumed further that: (i) at the time of execution, issuance and delivery of the Receipts, the Deposit Agreement will have been duly authorized, executed and delivered by the Company and the Depositary Agent and will be in full force and effect and will not have been terminated or rescinded by the Company or the Depositary Agent; (ii) at the time of execution, authentication, issuance and delivery of the Senior Debt Securities, the Indenture will continue to be in full force and effect and will not have been terminated or rescinded by the Company or the Indenture Trustee; (iii) at the time of execution, authentication, issuance and delivery of the Subordinated Debt Securities, the Indenture will continue to be in full force and effect and will not have been terminated or rescinded by the Company or the Indenture Trustee; (iv) at the time of execution, authentication, issuance and delivery of the Junior Subordinated Debt Securities, the Junior Subordinated Indenture will have been duly authorized, executed and delivered by the Company and the Junior Subordinated Indenture Trustee and will be in full force and effect and will not have been terminated or rescinded by the Company or the Junior Subordinated Indenture Trustee; (v) at the time of execution, countersignature, issuance and delivery of any Securities Warrants, the related Warrant Agreement will have been duly authorized, executed and delivered by the Company and the Counterparty and will be in full force and effect and will not have been terminated or rescinded by the Company or the Counterparty; (vi) at the time of execution, issuance and delivery of the Purchase Contracts, the Purchase Contract Agreement will have been duly authorized, executed and delivered by the Company and the Purchase Contract Agent and will be in full force and effect and will not have been terminated or rescinded by the Company or the Purchase Contract Agent; (vii) at the time of execution, issuance and delivery of the Units, the Unit Agreement will have been duly authorized, executed and delivered by the Company and the Unit Agent and will be in full force and effect and will not have been terminated or rescinded by the Company or the Unit Agent; (viii) at the time of execution, issuance and delivery of the Trust Preferred Securities, the Trust Agreement will have been duly authorized, executed and delivered by the Trust, the Company and the Trustee and will be in full force and effect and will not have been terminated or rescinded by the Trust, the Company or the Trustee; (ix) at the time of execution, issuance and delivery of the Guarantees, the Guarantee Agreement will have been duly authorized, executed and delivered by the Company and the Guarantee Trustee and will be in full force and effect and will not have been terminated or rescinded by the Company or the Guarantee Trustee and (x) at the time of issuance and sale of any of the Securities, the terms of the Securities, and their issuance and sale, will have been established so as not to violate any applicable law or result in a default under or breach of any agreement or instrument binding upon the Company or the Trust, as the case may be, and so as to comply with any requirement or restriction imposed by any court or governmental body having jurisdiction over the Company.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9</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I am of the opinion that:</w:t>
      </w:r>
    </w:p>
    <w:p>
      <w:pPr>
        <w:spacing w:after="0" w:line="76" w:lineRule="exact"/>
        <w:rPr>
          <w:sz w:val="20"/>
          <w:szCs w:val="20"/>
          <w:color w:val="auto"/>
        </w:rPr>
      </w:pPr>
    </w:p>
    <w:p>
      <w:pPr>
        <w:ind w:left="900" w:hanging="446"/>
        <w:spacing w:after="0" w:line="25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the Common Stock, assuming the (a) taking by the Board of Directors of the Company, a duly constituted and acting committee of such board or duly authorized officers of the Company (such Board of Directors, committee or authorized officers being referred to herein as the “Board”), of all necessary corporate action to authorize and approve the issuance of the Common Stock and (b) due issuance and delivery of the Common Stock, upon payment therefor in accordance with the applicable definitive purchase, underwriting or similar agreement approved by the Board, or upon the exercise of a Securities Warrant for conversion of a convertible Security, the Common Stock will be validly issued, fully paid and nonassessable.</w:t>
      </w:r>
    </w:p>
    <w:p>
      <w:pPr>
        <w:spacing w:after="0" w:line="98"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the Preferred Stock, assuming the (a) taking by the Board of all necessary corporate action to authorize and approve the issuance and terms of the Preferred Stock, (b) due filing of Articles of Amendment to the Articles of Incorporation of the Company and (c) due issuance and delivery of the Preferred Stock, upon payment therefor in accordance with the applicable definitive purchase, underwriting or similar agreement approved by the Board, or upon the exercise of a Securities Warrant for conversion of a convertible Security, the Preferred Stock will be validly issued, fully paid and nonassessable.</w:t>
      </w:r>
    </w:p>
    <w:p>
      <w:pPr>
        <w:spacing w:after="0" w:line="93"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the Receipts, assuming the (a) taking of all necessary corporate action to authorize and approve the issuance and terms of the related Preferred Stock, (b) due filing of Articles of Amendment to the Articles of Incorporation of the Company authorizing and establishing the terms of the Preferred Stock, (c) terms of the Depositary Shares and of their issuance and sale have been duly established in conformity with the terms of a valid and legally binding Deposit Agreement conforming to the description thereof in the Prospectus, (d) due issuance and delivery of the related Preferred Stock upon payment of the consideration therefor provided in the applicable definitive purchase, underwriting or similar agreement approved by the Board and (e) due issuance and delivery of Receipts evidencing the Depositary Shares against the deposit of the Preferred Stock in accordance with the Deposit Agreement, such Receipts will be validly issued and will entitle the holders thereof to the rights specified in the Deposit Agreement.</w:t>
      </w:r>
    </w:p>
    <w:p>
      <w:pPr>
        <w:spacing w:after="0" w:line="84" w:lineRule="exact"/>
        <w:rPr>
          <w:rFonts w:ascii="Arial" w:cs="Arial" w:eastAsia="Arial" w:hAnsi="Arial"/>
          <w:sz w:val="17"/>
          <w:szCs w:val="17"/>
          <w:color w:val="auto"/>
        </w:rPr>
      </w:pPr>
    </w:p>
    <w:p>
      <w:pPr>
        <w:ind w:left="900" w:hanging="446"/>
        <w:spacing w:after="0" w:line="27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and otherwise in accordance with the provisions of the applicable Indenture, such Debt Securities will constitute valid and binding obligations of the Company enforceable against the Company in accordance with their terms.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9</w:t>
      </w:r>
    </w:p>
    <w:p>
      <w:pPr>
        <w:spacing w:after="0" w:line="143" w:lineRule="exact"/>
        <w:rPr>
          <w:sz w:val="20"/>
          <w:szCs w:val="20"/>
          <w:color w:val="auto"/>
        </w:rPr>
      </w:pPr>
    </w:p>
    <w:p>
      <w:pPr>
        <w:ind w:left="900" w:right="60" w:hanging="446"/>
        <w:spacing w:after="0" w:line="273"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 respect to the Securities Warrants, assuming the (a) taking of all necessary corporate action to authorize and approve the issuance and terms of the Securities Warrants, the related Warrant Agreement, the terms of the offering thereof and related matters and (b) due execution, countersignature, issuance and delivery of such Securities Warrants upon payment of the consideration for such Securities Warrants provided for in the applicable definitive purchase, underwriting or similar agreement approved by the Board and otherwise in accordance with the provisions of the applicable Warrant Agreement, such Securities Warrants will constitute valid and binding obligations of the Company, enforceable against the Company in accordance with their terms.</w:t>
      </w:r>
    </w:p>
    <w:p>
      <w:pPr>
        <w:spacing w:after="0" w:line="83"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the Purchase Contracts, assuming the (a) taking of all necessary corporate action to authorize and approve the issuance and terms of the Purchase Contracts, the terms of the offering thereof and related matters and (b) due execution, issuance and delivery of the Purchase Contracts upon payment of the consideration for such Purchase Contracts provided for in the applicable definitive purchase, underwriting or similar agreement approved by the Board and otherwise in accordance with the provisions of the applicable Purchase Contract Agreement, the Purchase Contracts will constitute valid and binding obligations of the Company, enforceable against the Company in accordance with their terms.</w:t>
      </w:r>
    </w:p>
    <w:p>
      <w:pPr>
        <w:spacing w:after="0" w:line="98"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execution and terms of any Units, the related Unit Agreements and any Securities which are components of the Units, the terms of the offering thereof and related matters, (b) taking by the Trusts of all trust action to authorize and approve the issuance, execution and terms of any Trust Preferred Securities which are components of the Units, (c) taking by third parties of all necessary corporate or other action to authorize and approve the issuance and terms of any Third Party Debt Securities which are a component of the Units, the terms of the offering thereof and related matters and (d) due execution, countersignature (where applicable), authentication, issuance and delivery of the Units, the Unit Agreements, the Securities that are components of such Units, the Trust Preferred Securities that are components of such Units and such Third Party Debt Securities, in each case upon the payment of the consideration therefor provided for in the applicable definitive purchase, underwriting or similar agreement approved by the Board, and otherwise in accordance with the provisions of the applicable (i) Deposit Agreement, in the case of Depositary Shares or Receipts, (ii) Indenture, in the case of Debt Securities, (iii) Warrant Agreement, in the case of Securities Warrants, (iv) Purchase Contract Agreement, in the case of Purchase Contracts, (v) indenture or other authorizing document, in the case of Third Party Debt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9</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(vi) the certificate of trust for the applicable Trust and the Trust Agreement, in the case of Trust Preferred Securities and</w:t>
      </w:r>
    </w:p>
    <w:p>
      <w:pPr>
        <w:spacing w:after="0" w:line="23" w:lineRule="exact"/>
        <w:rPr>
          <w:sz w:val="20"/>
          <w:szCs w:val="20"/>
          <w:color w:val="auto"/>
        </w:rPr>
      </w:pPr>
    </w:p>
    <w:p>
      <w:pPr>
        <w:ind w:left="920" w:right="100" w:hanging="7"/>
        <w:spacing w:after="0" w:line="261" w:lineRule="auto"/>
        <w:tabs>
          <w:tab w:leader="none" w:pos="12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Guarantee Agreement, in the case of Guarantees, such Units will be validly issued and will entitle the holders thereof to the rights specified in the Unit Agreements</w:t>
      </w:r>
    </w:p>
    <w:p>
      <w:pPr>
        <w:spacing w:after="0" w:line="89" w:lineRule="exact"/>
        <w:rPr>
          <w:rFonts w:ascii="Arial" w:cs="Arial" w:eastAsia="Arial" w:hAnsi="Arial"/>
          <w:sz w:val="18"/>
          <w:szCs w:val="18"/>
          <w:color w:val="auto"/>
        </w:rPr>
      </w:pPr>
    </w:p>
    <w:p>
      <w:pPr>
        <w:ind w:left="900" w:right="60" w:hanging="446"/>
        <w:spacing w:after="0" w:line="27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respect to the Guarantees, assuming the (a) taking of all necessary corporate action to authorize and approve the issuance and terms of the Guarantees, the terms of the offering thereof and related matters and (b) due execution, issuance and delivery of the Guarantees upon payment of the consideration therefor provided for in the applicable definitive purchase, underwriting or similar agreement approved by the Board and otherwise in accordance with the provisions of the applicable Guarantee Agreement, such Guarantees will constitute valid and binding obligations of the Company, enforceable against the Company in accordance with their terms.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w:t>
      </w:r>
    </w:p>
    <w:p>
      <w:pPr>
        <w:spacing w:after="0" w:line="76" w:lineRule="exact"/>
        <w:rPr>
          <w:sz w:val="20"/>
          <w:szCs w:val="20"/>
          <w:color w:val="auto"/>
        </w:rPr>
      </w:pPr>
    </w:p>
    <w:p>
      <w:pPr>
        <w:ind w:left="900" w:hanging="446"/>
        <w:spacing w:after="0" w:line="25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My opinions herein reflect only the application of applicable laws of the State of Missouri (excluding the securities and blue sky laws of such state, as to which I express no opinion) and the federal laws of the United States of America (excluding the federal securities laws, as to which I express no opinion). The opinions set forth herein are made as of the date hereof and are subject to, and may be limited by, future changes in the factual matters set forth herein, and I undertake no duty to advise you of the same. The opinions expressed herein are based upon the law in effect (and published or otherwise generally available) on the date hereof, and I assume no obligation to revise or supplement these opinions should such law be changed by legislative action, judicial decision or otherwise. In rendering my opinions, I have not considered, and hereby disclaim any opinion as to, the application or impact of any laws, cases, decisions, rules or regulations of any other jurisdiction, court or administrative agency.</w:t>
      </w:r>
    </w:p>
    <w:p>
      <w:pPr>
        <w:spacing w:after="0" w:line="97"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My opinions set forth in paragraphs 3 through 8 above are subject to and may be limited by (i) applicable bankruptcy, insolvency, reorganization, receivership, moratorium and other similar laws affecting or relating to the rights and remedies of creditors generally, including, without limitation, laws relative to fraudulent conveyances, preferences and equitable subordination, (ii) general principles of equity (regardless of whether considered in a proceeding in equity or at law), (iii) an implied covenant of good faith and fair dealing, (iv) requirements that a claim with respect to any Debt Securities or Guarantees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9</w:t>
      </w:r>
    </w:p>
    <w:p>
      <w:pPr>
        <w:spacing w:after="0" w:line="143" w:lineRule="exact"/>
        <w:rPr>
          <w:sz w:val="20"/>
          <w:szCs w:val="20"/>
          <w:color w:val="auto"/>
        </w:rPr>
      </w:pPr>
    </w:p>
    <w:p>
      <w:pPr>
        <w:ind w:left="900" w:right="100" w:hanging="446"/>
        <w:spacing w:after="0" w:line="271"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My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84" w:lineRule="exact"/>
        <w:rPr>
          <w:rFonts w:ascii="Arial" w:cs="Arial" w:eastAsia="Arial" w:hAnsi="Arial"/>
          <w:sz w:val="17"/>
          <w:szCs w:val="17"/>
          <w:color w:val="auto"/>
        </w:rPr>
      </w:pPr>
    </w:p>
    <w:p>
      <w:pPr>
        <w:ind w:left="900" w:right="40" w:hanging="446"/>
        <w:spacing w:after="0" w:line="31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express no opinion as to the enforceability of any rights to indemnification or contribution provided for in any Deposit Agreement, Indentures, Warrant Agreements, Purchase Contract Agreements, Unit Agreements, Guarantee Agreements or other agreements which are violative of public policy underlying any law, rule or regulation (including any federal or state securities law, rule or regulation) or the legality of such rights.</w:t>
      </w:r>
    </w:p>
    <w:p>
      <w:pPr>
        <w:spacing w:after="0" w:line="52" w:lineRule="exact"/>
        <w:rPr>
          <w:rFonts w:ascii="Arial" w:cs="Arial" w:eastAsia="Arial" w:hAnsi="Arial"/>
          <w:sz w:val="16"/>
          <w:szCs w:val="16"/>
          <w:color w:val="auto"/>
        </w:rPr>
      </w:pPr>
    </w:p>
    <w:p>
      <w:pPr>
        <w:ind w:left="900" w:hanging="446"/>
        <w:spacing w:after="0" w:line="284"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 express no opinion as to the enforceability of any provision in any Deposit Agreement, Indentures, Warrant Agreements, Purchase Contract Agreements, Unit Agreements, Guarantee Agreements or other agreements purporting or attempting to (i) confer exclusive jurisdiction and/or venue upon certain courts or otherwise waive the defenses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(ii) confer subject matter jurisdiction on a court not having independent grounds therefor, (iii) modify or waive the requirements for effective service of process for any action that may be brought, (iv) waive the right of the Company or any other person to a trial by jury, (v) provide that remedies are cumulative or that decisions by a party are conclusive, (vi) modify or waive the rights to notice, legal defenses, statutes of limitations and statutes of repose (including the tolling of the same) or other benefits that cannot be waived under applicable law, (vii) govern choice of applicable law or conflict of laws or</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(viii) provide for or grant a power of attorney.</w:t>
      </w:r>
    </w:p>
    <w:p>
      <w:pPr>
        <w:spacing w:after="0" w:line="116" w:lineRule="exact"/>
        <w:rPr>
          <w:rFonts w:ascii="Arial" w:cs="Arial" w:eastAsia="Arial" w:hAnsi="Arial"/>
          <w:sz w:val="16"/>
          <w:szCs w:val="16"/>
          <w:color w:val="auto"/>
        </w:rPr>
      </w:pPr>
    </w:p>
    <w:p>
      <w:pPr>
        <w:ind w:left="900" w:hanging="446"/>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have informed me that you intend to issue the Securities from time to time on a delayed or continuous basis, and this opinion is limited to the laws, including the rules and regulations, as in effect on the date hereof. I understand that prior to issuing any Securities you will afford me an opportunity to review the operative documents pursuant to which such Securities are to be issued (including the applicable Prospectus Supplement) and will file such supplement or amendment to this opinion (if any) as I may reasonably consider necessary or appropriate by reason of the terms of such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 of 9</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 hereby consent to the filing of this opinion as an exhibit to the Registration Statement and to the use of my name under the caption “Legal Matters” in the Prospectus. I also consent to you filing copies of this opinion as an exhibit to the Registration Statement with agencies of such states as you deem necessary in the course of complying with the laws of such states regarding the offering and sale of the Securities. In giving such consent, I do not thereby concede that I am within the category of persons whose consent is required under Section 7 of the Act or the rules and regulations of the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L. Hutton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William L.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85435" cy="43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854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16600 Swingley 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Chesterfield, Missouri 63017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have acted as special New York counsel to Reinsurance Group of America, Incorporated, a Missouri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being filed this date by the Company and by RGA Capital Trust III and RGA Capital Trust IV, each a Delaware statutory trust (each, a “</w:t>
      </w:r>
      <w:r>
        <w:rPr>
          <w:rFonts w:ascii="Arial" w:cs="Arial" w:eastAsia="Arial" w:hAnsi="Arial"/>
          <w:sz w:val="16"/>
          <w:szCs w:val="16"/>
          <w:u w:val="single" w:color="auto"/>
          <w:color w:val="auto"/>
        </w:rPr>
        <w:t>Trust</w:t>
      </w:r>
      <w:r>
        <w:rPr>
          <w:rFonts w:ascii="Arial" w:cs="Arial" w:eastAsia="Arial" w:hAnsi="Arial"/>
          <w:sz w:val="16"/>
          <w:szCs w:val="16"/>
          <w:color w:val="auto"/>
        </w:rPr>
        <w:t>,” and together, the “</w:t>
      </w:r>
      <w:r>
        <w:rPr>
          <w:rFonts w:ascii="Arial" w:cs="Arial" w:eastAsia="Arial" w:hAnsi="Arial"/>
          <w:sz w:val="16"/>
          <w:szCs w:val="16"/>
          <w:u w:val="single" w:color="auto"/>
          <w:color w:val="auto"/>
        </w:rPr>
        <w:t>Trusts</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relating to: (i) shares of common stock of the Company,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(ii) warrants to purchase Common Stock (the “</w:t>
      </w:r>
      <w:r>
        <w:rPr>
          <w:rFonts w:ascii="Arial" w:cs="Arial" w:eastAsia="Arial" w:hAnsi="Arial"/>
          <w:sz w:val="16"/>
          <w:szCs w:val="16"/>
          <w:u w:val="single" w:color="auto"/>
          <w:color w:val="auto"/>
        </w:rPr>
        <w:t>Common Stock Warrants</w:t>
      </w:r>
      <w:r>
        <w:rPr>
          <w:rFonts w:ascii="Arial" w:cs="Arial" w:eastAsia="Arial" w:hAnsi="Arial"/>
          <w:sz w:val="16"/>
          <w:szCs w:val="16"/>
          <w:color w:val="auto"/>
        </w:rPr>
        <w:t>”); (iii) shares of preferred stock of the Company,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which may be represented by depositary shares (the “</w:t>
      </w:r>
      <w:r>
        <w:rPr>
          <w:rFonts w:ascii="Arial" w:cs="Arial" w:eastAsia="Arial" w:hAnsi="Arial"/>
          <w:sz w:val="16"/>
          <w:szCs w:val="16"/>
          <w:u w:val="single" w:color="auto"/>
          <w:color w:val="auto"/>
        </w:rPr>
        <w:t>Depositary Shares</w:t>
      </w:r>
      <w:r>
        <w:rPr>
          <w:rFonts w:ascii="Arial" w:cs="Arial" w:eastAsia="Arial" w:hAnsi="Arial"/>
          <w:sz w:val="16"/>
          <w:szCs w:val="16"/>
          <w:color w:val="auto"/>
        </w:rPr>
        <w:t>”) evidenced by depositary receipts (the “</w:t>
      </w:r>
      <w:r>
        <w:rPr>
          <w:rFonts w:ascii="Arial" w:cs="Arial" w:eastAsia="Arial" w:hAnsi="Arial"/>
          <w:sz w:val="16"/>
          <w:szCs w:val="16"/>
          <w:u w:val="single" w:color="auto"/>
          <w:color w:val="auto"/>
        </w:rPr>
        <w:t>Receipts</w:t>
      </w:r>
      <w:r>
        <w:rPr>
          <w:rFonts w:ascii="Arial" w:cs="Arial" w:eastAsia="Arial" w:hAnsi="Arial"/>
          <w:sz w:val="16"/>
          <w:szCs w:val="16"/>
          <w:color w:val="auto"/>
        </w:rPr>
        <w:t>”);</w:t>
      </w:r>
    </w:p>
    <w:p>
      <w:pPr>
        <w:spacing w:after="0" w:line="5" w:lineRule="exact"/>
        <w:rPr>
          <w:sz w:val="20"/>
          <w:szCs w:val="20"/>
          <w:color w:val="auto"/>
        </w:rPr>
      </w:pPr>
    </w:p>
    <w:p>
      <w:pPr>
        <w:ind w:right="20" w:firstLine="8"/>
        <w:spacing w:after="0" w:line="286" w:lineRule="auto"/>
        <w:tabs>
          <w:tab w:leader="none" w:pos="3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warrants to purchase Preferred Stock (the “</w:t>
      </w:r>
      <w:r>
        <w:rPr>
          <w:rFonts w:ascii="Arial" w:cs="Arial" w:eastAsia="Arial" w:hAnsi="Arial"/>
          <w:sz w:val="16"/>
          <w:szCs w:val="16"/>
          <w:u w:val="single" w:color="auto"/>
          <w:color w:val="auto"/>
        </w:rPr>
        <w:t>Preferred Stock Warrants</w:t>
      </w:r>
      <w:r>
        <w:rPr>
          <w:rFonts w:ascii="Arial" w:cs="Arial" w:eastAsia="Arial" w:hAnsi="Arial"/>
          <w:sz w:val="16"/>
          <w:szCs w:val="16"/>
          <w:color w:val="auto"/>
        </w:rPr>
        <w:t>”); (v) debt securities of the Company, which may be senior (the “</w:t>
      </w:r>
      <w:r>
        <w:rPr>
          <w:rFonts w:ascii="Arial" w:cs="Arial" w:eastAsia="Arial" w:hAnsi="Arial"/>
          <w:sz w:val="16"/>
          <w:szCs w:val="16"/>
          <w:u w:val="single" w:color="auto"/>
          <w:color w:val="auto"/>
        </w:rPr>
        <w:t>Senior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subordinated (the “</w:t>
      </w:r>
      <w:r>
        <w:rPr>
          <w:rFonts w:ascii="Arial" w:cs="Arial" w:eastAsia="Arial" w:hAnsi="Arial"/>
          <w:sz w:val="16"/>
          <w:szCs w:val="16"/>
          <w:u w:val="single" w:color="auto"/>
          <w:color w:val="auto"/>
        </w:rPr>
        <w:t>Subordinated Debt Securities</w:t>
      </w:r>
      <w:r>
        <w:rPr>
          <w:rFonts w:ascii="Arial" w:cs="Arial" w:eastAsia="Arial" w:hAnsi="Arial"/>
          <w:sz w:val="16"/>
          <w:szCs w:val="16"/>
          <w:color w:val="auto"/>
        </w:rPr>
        <w:t>”) or junior subordinated (the “</w:t>
      </w:r>
      <w:r>
        <w:rPr>
          <w:rFonts w:ascii="Arial" w:cs="Arial" w:eastAsia="Arial" w:hAnsi="Arial"/>
          <w:sz w:val="16"/>
          <w:szCs w:val="16"/>
          <w:u w:val="single" w:color="auto"/>
          <w:color w:val="auto"/>
        </w:rPr>
        <w:t>Junior Subordinated Debt Securities</w:t>
      </w:r>
      <w:r>
        <w:rPr>
          <w:rFonts w:ascii="Arial" w:cs="Arial" w:eastAsia="Arial" w:hAnsi="Arial"/>
          <w:sz w:val="16"/>
          <w:szCs w:val="16"/>
          <w:color w:val="auto"/>
        </w:rPr>
        <w:t>” and, collectively with the Senior Debt Securities and the Subordinated Debt Securities,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(vi) warrants of the Company to purchase Debt Securities (the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Security Warrants</w:t>
      </w:r>
      <w:r>
        <w:rPr>
          <w:rFonts w:ascii="Arial" w:cs="Arial" w:eastAsia="Arial" w:hAnsi="Arial"/>
          <w:sz w:val="16"/>
          <w:szCs w:val="16"/>
          <w:color w:val="auto"/>
        </w:rPr>
        <w:t>”); (vii) warrants of the Company to purchase other securities covered by the Registration Statement (“</w:t>
      </w:r>
      <w:r>
        <w:rPr>
          <w:rFonts w:ascii="Arial" w:cs="Arial" w:eastAsia="Arial" w:hAnsi="Arial"/>
          <w:sz w:val="16"/>
          <w:szCs w:val="16"/>
          <w:u w:val="single" w:color="auto"/>
          <w:color w:val="auto"/>
        </w:rPr>
        <w:t>Other Warrants</w:t>
      </w:r>
      <w:r>
        <w:rPr>
          <w:rFonts w:ascii="Arial" w:cs="Arial" w:eastAsia="Arial" w:hAnsi="Arial"/>
          <w:sz w:val="16"/>
          <w:szCs w:val="16"/>
          <w:color w:val="auto"/>
        </w:rPr>
        <w:t>” and, collectively with the Common Stock Warrants, the Preferred Stock Warrants and the Debt Security Warrants, the “</w:t>
      </w:r>
      <w:r>
        <w:rPr>
          <w:rFonts w:ascii="Arial" w:cs="Arial" w:eastAsia="Arial" w:hAnsi="Arial"/>
          <w:sz w:val="16"/>
          <w:szCs w:val="16"/>
          <w:u w:val="single" w:color="auto"/>
          <w:color w:val="auto"/>
        </w:rPr>
        <w:t>Securities Warrants</w:t>
      </w:r>
      <w:r>
        <w:rPr>
          <w:rFonts w:ascii="Arial" w:cs="Arial" w:eastAsia="Arial" w:hAnsi="Arial"/>
          <w:sz w:val="16"/>
          <w:szCs w:val="16"/>
          <w:color w:val="auto"/>
        </w:rPr>
        <w:t>”); (viii) contracts for the purchase and sale of Common Stock, Preferred Stock, Depositary Shares, Debt Securities, Securities Warrants or Trust Preferred Securities (as hereinafter defined) (the “</w:t>
      </w:r>
      <w:r>
        <w:rPr>
          <w:rFonts w:ascii="Arial" w:cs="Arial" w:eastAsia="Arial" w:hAnsi="Arial"/>
          <w:sz w:val="16"/>
          <w:szCs w:val="16"/>
          <w:u w:val="single" w:color="auto"/>
          <w:color w:val="auto"/>
        </w:rPr>
        <w:t>Purchase Contracts</w:t>
      </w:r>
      <w:r>
        <w:rPr>
          <w:rFonts w:ascii="Arial" w:cs="Arial" w:eastAsia="Arial" w:hAnsi="Arial"/>
          <w:sz w:val="16"/>
          <w:szCs w:val="16"/>
          <w:color w:val="auto"/>
        </w:rPr>
        <w:t>”); and (ix) units of the Company (the “</w:t>
      </w:r>
      <w:r>
        <w:rPr>
          <w:rFonts w:ascii="Arial" w:cs="Arial" w:eastAsia="Arial" w:hAnsi="Arial"/>
          <w:sz w:val="16"/>
          <w:szCs w:val="16"/>
          <w:u w:val="single" w:color="auto"/>
          <w:color w:val="auto"/>
        </w:rPr>
        <w:t>Units</w:t>
      </w:r>
      <w:r>
        <w:rPr>
          <w:rFonts w:ascii="Arial" w:cs="Arial" w:eastAsia="Arial" w:hAnsi="Arial"/>
          <w:sz w:val="16"/>
          <w:szCs w:val="16"/>
          <w:color w:val="auto"/>
        </w:rPr>
        <w:t>”), consisting of one or more of Common Stock, Preferred Stock, Depositary Shares, Debt Securities, Securities Warrants, Purchase Contracts, Trust Preferred Securities, Guarantees (as hereinafter defined), and debt obligations of third parties, including U.S. Treasury Securities (the “</w:t>
      </w:r>
      <w:r>
        <w:rPr>
          <w:rFonts w:ascii="Arial" w:cs="Arial" w:eastAsia="Arial" w:hAnsi="Arial"/>
          <w:sz w:val="16"/>
          <w:szCs w:val="16"/>
          <w:u w:val="single" w:color="auto"/>
          <w:color w:val="auto"/>
        </w:rPr>
        <w:t>Third Party Debt Securities</w:t>
      </w:r>
      <w:r>
        <w:rPr>
          <w:rFonts w:ascii="Arial" w:cs="Arial" w:eastAsia="Arial" w:hAnsi="Arial"/>
          <w:sz w:val="16"/>
          <w:szCs w:val="16"/>
          <w:color w:val="auto"/>
        </w:rPr>
        <w:t>”). The Registration Statement also relates to the registration under the Act of trust preferred securities of the Trusts (the “</w:t>
      </w:r>
      <w:r>
        <w:rPr>
          <w:rFonts w:ascii="Arial" w:cs="Arial" w:eastAsia="Arial" w:hAnsi="Arial"/>
          <w:sz w:val="16"/>
          <w:szCs w:val="16"/>
          <w:u w:val="single" w:color="auto"/>
          <w:color w:val="auto"/>
        </w:rPr>
        <w:t>Trust Preferred Securities</w:t>
      </w:r>
      <w:r>
        <w:rPr>
          <w:rFonts w:ascii="Arial" w:cs="Arial" w:eastAsia="Arial" w:hAnsi="Arial"/>
          <w:sz w:val="16"/>
          <w:szCs w:val="16"/>
          <w:color w:val="auto"/>
        </w:rPr>
        <w:t>”) and guarantees of the Trust Preferred Securities by the Company (the “</w:t>
      </w:r>
      <w:r>
        <w:rPr>
          <w:rFonts w:ascii="Arial" w:cs="Arial" w:eastAsia="Arial" w:hAnsi="Arial"/>
          <w:sz w:val="16"/>
          <w:szCs w:val="16"/>
          <w:u w:val="single" w:color="auto"/>
          <w:color w:val="auto"/>
        </w:rPr>
        <w:t>Guarantees</w:t>
      </w:r>
      <w:r>
        <w:rPr>
          <w:rFonts w:ascii="Arial" w:cs="Arial" w:eastAsia="Arial" w:hAnsi="Arial"/>
          <w:sz w:val="16"/>
          <w:szCs w:val="16"/>
          <w:color w:val="auto"/>
        </w:rPr>
        <w: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Common Stock, the Preferred Stock, the Depositary Shares, the Debt Securities, the Securities Warrants, the Purchase Contracts, the Trust Preferred Securities, the Guarantees and the Units are hereinafter referred to collectively as the “</w:t>
      </w:r>
      <w:r>
        <w:rPr>
          <w:rFonts w:ascii="Arial" w:cs="Arial" w:eastAsia="Arial" w:hAnsi="Arial"/>
          <w:sz w:val="18"/>
          <w:szCs w:val="18"/>
          <w:u w:val="single" w:color="auto"/>
          <w:color w:val="auto"/>
        </w:rPr>
        <w:t>Securities</w:t>
      </w:r>
      <w:r>
        <w:rPr>
          <w:rFonts w:ascii="Arial" w:cs="Arial" w:eastAsia="Arial" w:hAnsi="Arial"/>
          <w:sz w:val="18"/>
          <w:szCs w:val="18"/>
          <w:color w:val="auto"/>
        </w:rPr>
        <w:t>.” An indeterminate amount of the Securities may be issued and sold or delivered from time to time at indeterminate prices or upon conversion,</w:t>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exchange or exercise of any such Securities to the extent any such Securities are, by their terms, convertible into, or exchangeable or exercisable for such Securities, by the Company and the Trusts as set forth in the Registration Statement, any amendment thereto, the prospectus contained therein (the “</w:t>
      </w:r>
      <w:r>
        <w:rPr>
          <w:rFonts w:ascii="Arial" w:cs="Arial" w:eastAsia="Arial" w:hAnsi="Arial"/>
          <w:sz w:val="17"/>
          <w:szCs w:val="17"/>
          <w:u w:val="single" w:color="auto"/>
          <w:color w:val="auto"/>
        </w:rPr>
        <w:t>Prospectus</w:t>
      </w:r>
      <w:r>
        <w:rPr>
          <w:rFonts w:ascii="Arial" w:cs="Arial" w:eastAsia="Arial" w:hAnsi="Arial"/>
          <w:sz w:val="17"/>
          <w:szCs w:val="17"/>
          <w:color w:val="auto"/>
        </w:rPr>
        <w:t>”), and supplements to the Prospectus (the “</w:t>
      </w:r>
      <w:r>
        <w:rPr>
          <w:rFonts w:ascii="Arial" w:cs="Arial" w:eastAsia="Arial" w:hAnsi="Arial"/>
          <w:sz w:val="17"/>
          <w:szCs w:val="17"/>
          <w:u w:val="single" w:color="auto"/>
          <w:color w:val="auto"/>
        </w:rPr>
        <w:t>Prospectus Supplements</w:t>
      </w:r>
      <w:r>
        <w:rPr>
          <w:rFonts w:ascii="Arial" w:cs="Arial" w:eastAsia="Arial" w:hAnsi="Arial"/>
          <w:sz w:val="17"/>
          <w:szCs w:val="17"/>
          <w:color w:val="auto"/>
        </w:rPr>
        <w:t>”) filed pursuant to Rule 415 under the Act.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Senior Debt Securities and the Subordinated Debt Securities will be issued under an Indenture, dated as of August 21, 2012, by and between the Company and The Bank of New York Mellon Trust Company, N.A., as trustee (the “</w:t>
      </w:r>
      <w:r>
        <w:rPr>
          <w:rFonts w:ascii="Arial" w:cs="Arial" w:eastAsia="Arial" w:hAnsi="Arial"/>
          <w:sz w:val="18"/>
          <w:szCs w:val="18"/>
          <w:u w:val="single" w:color="auto"/>
          <w:color w:val="auto"/>
        </w:rPr>
        <w:t>Indenture Trustee</w:t>
      </w:r>
      <w:r>
        <w:rPr>
          <w:rFonts w:ascii="Arial" w:cs="Arial" w:eastAsia="Arial" w:hAnsi="Arial"/>
          <w:sz w:val="18"/>
          <w:szCs w:val="18"/>
          <w:color w:val="auto"/>
        </w:rPr>
        <w:t>”), as such indenture may be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The Junior Subordinated Debt Securities will be issued under a Junior Subordinated Indenture, to be entered into by and between the Company and The Bank of New York Mellon Trust Company, N.A., as trustee (the “</w:t>
      </w:r>
      <w:r>
        <w:rPr>
          <w:rFonts w:ascii="Arial" w:cs="Arial" w:eastAsia="Arial" w:hAnsi="Arial"/>
          <w:sz w:val="18"/>
          <w:szCs w:val="18"/>
          <w:u w:val="single" w:color="auto"/>
          <w:color w:val="auto"/>
        </w:rPr>
        <w:t>Junior Subordinated Indenture Trustee</w:t>
      </w:r>
      <w:r>
        <w:rPr>
          <w:rFonts w:ascii="Arial" w:cs="Arial" w:eastAsia="Arial" w:hAnsi="Arial"/>
          <w:sz w:val="18"/>
          <w:szCs w:val="18"/>
          <w:color w:val="auto"/>
        </w:rPr>
        <w:t>”), as such indenture may be supplemented from time to time (the “</w:t>
      </w:r>
      <w:r>
        <w:rPr>
          <w:rFonts w:ascii="Arial" w:cs="Arial" w:eastAsia="Arial" w:hAnsi="Arial"/>
          <w:sz w:val="18"/>
          <w:szCs w:val="18"/>
          <w:u w:val="single" w:color="auto"/>
          <w:color w:val="auto"/>
        </w:rPr>
        <w:t>Junior Subordinated Indenture</w:t>
      </w:r>
      <w:r>
        <w:rPr>
          <w:rFonts w:ascii="Arial" w:cs="Arial" w:eastAsia="Arial" w:hAnsi="Arial"/>
          <w:sz w:val="18"/>
          <w:szCs w:val="18"/>
          <w:color w:val="auto"/>
        </w:rPr>
        <w:t>”). The Indenture and the Junior Subordinated Indenture are hereinafter referred to together as the “</w:t>
      </w:r>
      <w:r>
        <w:rPr>
          <w:rFonts w:ascii="Arial" w:cs="Arial" w:eastAsia="Arial" w:hAnsi="Arial"/>
          <w:sz w:val="18"/>
          <w:szCs w:val="18"/>
          <w:u w:val="single" w:color="auto"/>
          <w:color w:val="auto"/>
        </w:rPr>
        <w:t>Indentures</w:t>
      </w:r>
      <w:r>
        <w:rPr>
          <w:rFonts w:ascii="Arial" w:cs="Arial" w:eastAsia="Arial" w:hAnsi="Arial"/>
          <w:sz w:val="18"/>
          <w:szCs w:val="18"/>
          <w:color w:val="auto"/>
        </w:rPr>
        <w:t>.”</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Depositary Shares will be issued pursuant to a deposit agreement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between the Company and a depositary agent to be specified therein (the “</w:t>
      </w:r>
      <w:r>
        <w:rPr>
          <w:rFonts w:ascii="Arial" w:cs="Arial" w:eastAsia="Arial" w:hAnsi="Arial"/>
          <w:sz w:val="18"/>
          <w:szCs w:val="18"/>
          <w:u w:val="single" w:color="auto"/>
          <w:color w:val="auto"/>
        </w:rPr>
        <w:t>Depositary Agent</w:t>
      </w:r>
      <w:r>
        <w:rPr>
          <w:rFonts w:ascii="Arial" w:cs="Arial" w:eastAsia="Arial" w:hAnsi="Arial"/>
          <w:sz w:val="18"/>
          <w:szCs w:val="18"/>
          <w:color w:val="auto"/>
        </w:rPr>
        <w: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Common Stock Warrants will be issued under a common stock warrant agreement (the “</w:t>
      </w:r>
      <w:r>
        <w:rPr>
          <w:rFonts w:ascii="Arial" w:cs="Arial" w:eastAsia="Arial" w:hAnsi="Arial"/>
          <w:sz w:val="16"/>
          <w:szCs w:val="16"/>
          <w:u w:val="single" w:color="auto"/>
          <w:color w:val="auto"/>
        </w:rPr>
        <w:t>Common Stock Warrant Agreement</w:t>
      </w:r>
      <w:r>
        <w:rPr>
          <w:rFonts w:ascii="Arial" w:cs="Arial" w:eastAsia="Arial" w:hAnsi="Arial"/>
          <w:sz w:val="16"/>
          <w:szCs w:val="16"/>
          <w:color w:val="auto"/>
        </w:rPr>
        <w:t>”) between the Company and a common stock warrant agent to be specified therein. The Preferred Stock Warrants will be issued under a preferred stock warrant agreement (the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Warrant Agreement</w:t>
      </w:r>
      <w:r>
        <w:rPr>
          <w:rFonts w:ascii="Arial" w:cs="Arial" w:eastAsia="Arial" w:hAnsi="Arial"/>
          <w:sz w:val="16"/>
          <w:szCs w:val="16"/>
          <w:color w:val="auto"/>
        </w:rPr>
        <w:t>”) between the Company and a preferred stock warrant agent to be specified therein. Warrants to purchase Senior Debt Securities will be issued under a senior debt security warrant agreement (the “</w:t>
      </w:r>
      <w:r>
        <w:rPr>
          <w:rFonts w:ascii="Arial" w:cs="Arial" w:eastAsia="Arial" w:hAnsi="Arial"/>
          <w:sz w:val="16"/>
          <w:szCs w:val="16"/>
          <w:u w:val="single" w:color="auto"/>
          <w:color w:val="auto"/>
        </w:rPr>
        <w:t>Senior Debt Security Warrant Agreement</w:t>
      </w:r>
      <w:r>
        <w:rPr>
          <w:rFonts w:ascii="Arial" w:cs="Arial" w:eastAsia="Arial" w:hAnsi="Arial"/>
          <w:sz w:val="16"/>
          <w:szCs w:val="16"/>
          <w:color w:val="auto"/>
        </w:rPr>
        <w:t>”) among the Company, a senior debt security warrant agent to be specified therein and the Indenture Trustee. Warrants to purchase Subordinated Debt Securities will be issued under a subordinated debt security warrant agreement (the “</w:t>
      </w:r>
      <w:r>
        <w:rPr>
          <w:rFonts w:ascii="Arial" w:cs="Arial" w:eastAsia="Arial" w:hAnsi="Arial"/>
          <w:sz w:val="16"/>
          <w:szCs w:val="16"/>
          <w:u w:val="single" w:color="auto"/>
          <w:color w:val="auto"/>
        </w:rPr>
        <w:t>Subordinated Debt Security Warrant Agreement</w:t>
      </w:r>
      <w:r>
        <w:rPr>
          <w:rFonts w:ascii="Arial" w:cs="Arial" w:eastAsia="Arial" w:hAnsi="Arial"/>
          <w:sz w:val="16"/>
          <w:szCs w:val="16"/>
          <w:color w:val="auto"/>
        </w:rPr>
        <w:t>”) among the Company, a subordinated debt security warrant agent to be specified therein and the Indenture Trustee. Warrants to purchase Junior Subordinated Debt Securities will be issued under a junior subordinated debt security warrant agreement (the “</w:t>
      </w:r>
      <w:r>
        <w:rPr>
          <w:rFonts w:ascii="Arial" w:cs="Arial" w:eastAsia="Arial" w:hAnsi="Arial"/>
          <w:sz w:val="16"/>
          <w:szCs w:val="16"/>
          <w:u w:val="single" w:color="auto"/>
          <w:color w:val="auto"/>
        </w:rPr>
        <w:t>Junior Subordinated Debt Security Warrant Agreement</w:t>
      </w:r>
      <w:r>
        <w:rPr>
          <w:rFonts w:ascii="Arial" w:cs="Arial" w:eastAsia="Arial" w:hAnsi="Arial"/>
          <w:sz w:val="16"/>
          <w:szCs w:val="16"/>
          <w:color w:val="auto"/>
        </w:rPr>
        <w:t>”) among the Company, a junior subordinated debt security warrant agent to be specified therein and the Junior Subordinated Indenture Trustee. The Other Warrants will be issued under a warrant agreement (the “</w:t>
      </w:r>
      <w:r>
        <w:rPr>
          <w:rFonts w:ascii="Arial" w:cs="Arial" w:eastAsia="Arial" w:hAnsi="Arial"/>
          <w:sz w:val="16"/>
          <w:szCs w:val="16"/>
          <w:u w:val="single" w:color="auto"/>
          <w:color w:val="auto"/>
        </w:rPr>
        <w:t>Other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Company, the applicable trustee and a warrant agent to be specified therein. The Common Stock Warrant Agreement, the Preferred Stock Warrant Agreement, the Senior Debt Security Warrant Agreement, the Subordinated Debt Security Warrant Agreement, the Junior Subordinated Debt Security Warrant Agreement and the Other Warrant Agreement are hereinafter referred to collectively as the “</w:t>
      </w:r>
      <w:r>
        <w:rPr>
          <w:rFonts w:ascii="Arial" w:cs="Arial" w:eastAsia="Arial" w:hAnsi="Arial"/>
          <w:sz w:val="16"/>
          <w:szCs w:val="16"/>
          <w:u w:val="single" w:color="auto"/>
          <w:color w:val="auto"/>
        </w:rPr>
        <w:t>Warrant Agreements</w:t>
      </w:r>
      <w:r>
        <w:rPr>
          <w:rFonts w:ascii="Arial" w:cs="Arial" w:eastAsia="Arial" w:hAnsi="Arial"/>
          <w:sz w:val="16"/>
          <w:szCs w:val="16"/>
          <w:color w:val="auto"/>
        </w:rPr>
        <w:t>.” Each party to a Warrant Agreement other than the Company is referred to hereinafter as a “</w:t>
      </w:r>
      <w:r>
        <w:rPr>
          <w:rFonts w:ascii="Arial" w:cs="Arial" w:eastAsia="Arial" w:hAnsi="Arial"/>
          <w:sz w:val="16"/>
          <w:szCs w:val="16"/>
          <w:u w:val="single" w:color="auto"/>
          <w:color w:val="auto"/>
        </w:rPr>
        <w:t>Counterparty</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Purchase Contracts will be issued under a purchase contract agreement (the “</w:t>
      </w:r>
      <w:r>
        <w:rPr>
          <w:rFonts w:ascii="Arial" w:cs="Arial" w:eastAsia="Arial" w:hAnsi="Arial"/>
          <w:sz w:val="18"/>
          <w:szCs w:val="18"/>
          <w:u w:val="single" w:color="auto"/>
          <w:color w:val="auto"/>
        </w:rPr>
        <w:t>Purchase Contract Agreement</w:t>
      </w:r>
      <w:r>
        <w:rPr>
          <w:rFonts w:ascii="Arial" w:cs="Arial" w:eastAsia="Arial" w:hAnsi="Arial"/>
          <w:sz w:val="18"/>
          <w:szCs w:val="18"/>
          <w:color w:val="auto"/>
        </w:rPr>
        <w:t>”) between the Company and a purchase contract agent to be specified therein (the “</w:t>
      </w:r>
      <w:r>
        <w:rPr>
          <w:rFonts w:ascii="Arial" w:cs="Arial" w:eastAsia="Arial" w:hAnsi="Arial"/>
          <w:sz w:val="18"/>
          <w:szCs w:val="18"/>
          <w:u w:val="single" w:color="auto"/>
          <w:color w:val="auto"/>
        </w:rPr>
        <w:t>Purchase Contract Agent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Units will be issued under a unit agreement (the “</w:t>
      </w:r>
      <w:r>
        <w:rPr>
          <w:rFonts w:ascii="Arial" w:cs="Arial" w:eastAsia="Arial" w:hAnsi="Arial"/>
          <w:sz w:val="16"/>
          <w:szCs w:val="16"/>
          <w:u w:val="single" w:color="auto"/>
          <w:color w:val="auto"/>
        </w:rPr>
        <w:t>Unit Agreement</w:t>
      </w:r>
      <w:r>
        <w:rPr>
          <w:rFonts w:ascii="Arial" w:cs="Arial" w:eastAsia="Arial" w:hAnsi="Arial"/>
          <w:sz w:val="16"/>
          <w:szCs w:val="16"/>
          <w:color w:val="auto"/>
        </w:rPr>
        <w:t>”) between the Company and a unit agent to be specified therein (the “</w:t>
      </w:r>
      <w:r>
        <w:rPr>
          <w:rFonts w:ascii="Arial" w:cs="Arial" w:eastAsia="Arial" w:hAnsi="Arial"/>
          <w:sz w:val="16"/>
          <w:szCs w:val="16"/>
          <w:u w:val="single" w:color="auto"/>
          <w:color w:val="auto"/>
        </w:rPr>
        <w:t>Unit Agent</w:t>
      </w:r>
      <w:r>
        <w:rPr>
          <w:rFonts w:ascii="Arial" w:cs="Arial" w:eastAsia="Arial" w:hAnsi="Arial"/>
          <w:sz w:val="16"/>
          <w:szCs w:val="16"/>
          <w:color w:val="auto"/>
        </w:rPr>
        <w:t>”).</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Guarantees will be issued pursuant to a guarantee agreement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between the Company and a guarantee trustee to be specified therein (the “</w:t>
      </w:r>
      <w:r>
        <w:rPr>
          <w:rFonts w:ascii="Arial" w:cs="Arial" w:eastAsia="Arial" w:hAnsi="Arial"/>
          <w:sz w:val="18"/>
          <w:szCs w:val="18"/>
          <w:u w:val="single" w:color="auto"/>
          <w:color w:val="auto"/>
        </w:rPr>
        <w:t>Guarantee Trustee</w:t>
      </w:r>
      <w:r>
        <w:rPr>
          <w:rFonts w:ascii="Arial" w:cs="Arial" w:eastAsia="Arial" w:hAnsi="Arial"/>
          <w:sz w:val="18"/>
          <w:szCs w:val="18"/>
          <w:color w:val="auto"/>
        </w:rPr>
        <w: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Trust Preferred Securities will be issued pursuant to a trust agreement (the “</w:t>
      </w:r>
      <w:r>
        <w:rPr>
          <w:rFonts w:ascii="Arial" w:cs="Arial" w:eastAsia="Arial" w:hAnsi="Arial"/>
          <w:sz w:val="18"/>
          <w:szCs w:val="18"/>
          <w:u w:val="single" w:color="auto"/>
          <w:color w:val="auto"/>
        </w:rPr>
        <w:t>Trust Agreement</w:t>
      </w:r>
      <w:r>
        <w:rPr>
          <w:rFonts w:ascii="Arial" w:cs="Arial" w:eastAsia="Arial" w:hAnsi="Arial"/>
          <w:sz w:val="18"/>
          <w:szCs w:val="18"/>
          <w:color w:val="auto"/>
        </w:rPr>
        <w:t>”) among the applicable Trust, a trustee to be specified therein (the “</w:t>
      </w:r>
      <w:r>
        <w:rPr>
          <w:rFonts w:ascii="Arial" w:cs="Arial" w:eastAsia="Arial" w:hAnsi="Arial"/>
          <w:sz w:val="18"/>
          <w:szCs w:val="18"/>
          <w:u w:val="single" w:color="auto"/>
          <w:color w:val="auto"/>
        </w:rPr>
        <w:t>Trustee</w:t>
      </w:r>
      <w:r>
        <w:rPr>
          <w:rFonts w:ascii="Arial" w:cs="Arial" w:eastAsia="Arial" w:hAnsi="Arial"/>
          <w:sz w:val="18"/>
          <w:szCs w:val="18"/>
          <w:color w:val="auto"/>
        </w:rPr>
        <w:t>”) and the Company, as depositor.</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herewith, we have examined and relied without investigation as to matters of fact upon the Registration Statement, including the Indenture, the form of the Junior Subordinated Indenture, and the form of the Guarantee Agreement attached thereto as Exhibits 4.1, 4.2, and 4.11, respectively,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w:t>
      </w:r>
      <w:r>
        <w:rPr>
          <w:rFonts w:ascii="Arial" w:cs="Arial" w:eastAsia="Arial" w:hAnsi="Arial"/>
          <w:sz w:val="17"/>
          <w:szCs w:val="17"/>
          <w:u w:val="single" w:color="auto"/>
          <w:color w:val="auto"/>
        </w:rPr>
        <w:t>Edgar</w:t>
      </w:r>
      <w:r>
        <w:rPr>
          <w:rFonts w:ascii="Arial" w:cs="Arial" w:eastAsia="Arial" w:hAnsi="Arial"/>
          <w:sz w:val="17"/>
          <w:szCs w:val="17"/>
          <w:color w:val="auto"/>
        </w:rPr>
        <w:t>”) or other sites maintained by a court or governmental authority or regulatory body and the authenticity of the originals of such latter documents. If any documents we examined in printed, word processed or similar form has been filed with the Commission on Edgar or such court or governmental authority or regulatory body, we have assumed that the document so filed is identical to the document we examined except for formatting changes.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assumed that: (1) at the time of execution, authentication, issuance and delivery of the Senior Debt Securities, the Indenture will be the valid and legally binding obligation of the Indenture Trustee, enforceable against such party in accordance with its terms; (2) at the time of execution, authentication, issuance and delivery of the Subordinated Debt Securities, the Indenture will be the valid and legally binding obligation of the Indenture Trustee, enforceable against such party in accordance with its terms; (3) at the time of execution, authentication, issuance and delivery of the Junior Subordinated Debt Securities, the Junior Subordinated Indenture will be the valid and legally binding obligation of the Junior Subordinated Indenture Trustee, enforceable against such party in accordance with its terms; (4) at the time of execution, countersignature, issuance and delivery of the Receipts, the Deposit Agreement will be the valid and legally binding obligation of</w:t>
      </w:r>
    </w:p>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Depositary Agent, enforceable against such party in accordance with its terms; (5) at the time of the execution, countersignature, issuance and delivery of any Securities Warrants, the related Warrant Agreement will be the valid and legally binding obligation of each Counterparty thereto, enforceable against such party in accordance with its terms; (6) at the time of the execution, issuance and delivery of the Purchase Contracts, the Purchase Contract Agreement will be the valid and legally binding obligation of the Purchase Contract Agent, enforceable against such party in accordance with its terms; (7) at the time of the execution, countersignature, issuance and delivery of the Units, the related Unit Agreement will be the valid and legally binding obligation of the Unit Agent, enforceable against such party in accordance with its terms; (8) at the time of the execution, issuance and delivery of the Guarantees, the Guarantee Agreement will be the valid and legally binding obligation of the Guarantee Trustee, enforceable against such party in accordance with its terms; and (9) at the time of the execution, countersignature, issuance and delivery of the Trust Preferred Securities, the related Trust Agreement will be the valid and legally binding obligation of the Trust party thereto and the Trustee, enforceable against such party in accordance with its terms.</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assumed further that: (1) at the time of execution, authentication, issuance and delivery of any Senior Debt Securities or Subordinated Debt Securities, the Indenture will continue to be in full force and effect and will not have been terminated or rescinded by the Company or the Indenture Trustee,</w:t>
      </w:r>
    </w:p>
    <w:p>
      <w:pPr>
        <w:ind w:right="60" w:firstLine="8"/>
        <w:spacing w:after="0" w:line="268"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 the time of execution, authentication, issuance and delivery of any Junior Subordinated Debt Securities, the Purchase Contracts, the Receipts, any Securities Warrants, the Guarantees and the Units, the Junior Subordinated Indenture, the Purchase Contract Agreement, the Deposit Agreement, the Warrant Agreement, the Guarantee Agreement and the Unit Agreement will have been duly authorized, executed and delivered by the Company and the other party thereto and will be in full force and effect and will not have been terminated or rescinded by the Company or such other party; (3) at the time of execution, issuance and delivery of the Trust Preferred Securities, the related Trust Agreement will have been duly authorized, executed and delivered by the Trust party thereto, the Company and the Trustee and will be in full force and effect and will not have been terminated or rescinded by such Trust, the Company or the Trustee; and (4) at the time of issuance and sale of any of the Securities, the terms of the Securities, and their issuance and sale, will have been established so as not to violate any applicable law or result in a default under or breach of any agreement or instrument binding upon the Company or the applicable Trust, as the case may be, and so as to comply with any requirement or restriction imposed by any court or governmental body having jurisdiction over the Company or such Trust, as the case may be.</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assumed that each of the Junior Subordinated Indenture, any Deposit Agreements, any Warrant Agreements, any Purchase Contract Agreements, any Unit Agreements and any Guarantee Agreements is governed by the laws of the State of New York. We understand that you are receiving separate opinions of counsel relating to the Common Stock and Preferred Stock on the one hand, and the Trust Preferred Securities and the Trust Agreement, on the other hand, as to which we express no opinion.</w:t>
      </w:r>
    </w:p>
    <w:p>
      <w:pPr>
        <w:sectPr>
          <w:pgSz w:w="11900" w:h="16838" w:orient="portrait"/>
          <w:cols w:equalWidth="0" w:num="1">
            <w:col w:w="11400"/>
          </w:cols>
          <w:pgMar w:left="240" w:top="27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set forth herein and the effectiveness of the Registration Statement under the Act, we are of the opinion that:</w:t>
      </w:r>
    </w:p>
    <w:p>
      <w:pPr>
        <w:spacing w:after="0" w:line="62" w:lineRule="exact"/>
        <w:rPr>
          <w:sz w:val="20"/>
          <w:szCs w:val="20"/>
          <w:color w:val="auto"/>
        </w:rPr>
      </w:pPr>
    </w:p>
    <w:p>
      <w:pPr>
        <w:ind w:right="20" w:firstLine="464"/>
        <w:spacing w:after="0" w:line="271" w:lineRule="auto"/>
        <w:tabs>
          <w:tab w:leader="none" w:pos="6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the Receipts, assuming the (a) taking of all necessary corporate action to authorize and approve the issuance and terms of the related Preferred Stock, (b) due filing of Articles of Amendment to the Articles of Incorporation of the Company authorizing and establishing the terms of the Preferred Stock, (c) terms of the Depositary Shares and of their issuance and sale have been duly established in conformity with the terms of a valid and legally binding Deposit Agreement conforming to the description thereof in the Prospectus, (d) due issuance and delivery of the related Preferred Stock upon payment of the consideration therefor provided in the applicable definitive purchase, underwriting or similar agreement approved by the Board of Directors of the Company, or a duly constituted committee thereof (such Board of Directors or committee, as the case may be, the “</w:t>
      </w:r>
      <w:r>
        <w:rPr>
          <w:rFonts w:ascii="Arial" w:cs="Arial" w:eastAsia="Arial" w:hAnsi="Arial"/>
          <w:sz w:val="17"/>
          <w:szCs w:val="17"/>
          <w:u w:val="single" w:color="auto"/>
          <w:color w:val="auto"/>
        </w:rPr>
        <w:t>Board</w:t>
      </w:r>
      <w:r>
        <w:rPr>
          <w:rFonts w:ascii="Arial" w:cs="Arial" w:eastAsia="Arial" w:hAnsi="Arial"/>
          <w:sz w:val="17"/>
          <w:szCs w:val="17"/>
          <w:color w:val="auto"/>
        </w:rPr>
        <w:t>”), and (e) due issuance and delivery of Receipts evidencing the Depositary Shares against the deposit of the Preferred Stock in accordance with the Deposit Agreement, such Receipts will be validly issued and will entitle the holders thereof to the rights specified in the Deposit Agreement.</w:t>
      </w:r>
    </w:p>
    <w:p>
      <w:pPr>
        <w:spacing w:after="0" w:line="178" w:lineRule="exact"/>
        <w:rPr>
          <w:rFonts w:ascii="Arial" w:cs="Arial" w:eastAsia="Arial" w:hAnsi="Arial"/>
          <w:sz w:val="17"/>
          <w:szCs w:val="17"/>
          <w:color w:val="auto"/>
        </w:rPr>
      </w:pPr>
    </w:p>
    <w:p>
      <w:pPr>
        <w:ind w:right="20" w:firstLine="464"/>
        <w:spacing w:after="0" w:line="257" w:lineRule="auto"/>
        <w:tabs>
          <w:tab w:leader="none" w:pos="6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and otherwise in accordance with the provisions of the applicable Indenture, such Debt Securities will constitute valid and binding obligations of the Company, enforceable against the Company in accordance with their terms.</w:t>
      </w:r>
    </w:p>
    <w:p>
      <w:pPr>
        <w:spacing w:after="0" w:line="188" w:lineRule="exact"/>
        <w:rPr>
          <w:rFonts w:ascii="Arial" w:cs="Arial" w:eastAsia="Arial" w:hAnsi="Arial"/>
          <w:sz w:val="18"/>
          <w:szCs w:val="18"/>
          <w:color w:val="auto"/>
        </w:rPr>
      </w:pPr>
    </w:p>
    <w:p>
      <w:pPr>
        <w:ind w:firstLine="464"/>
        <w:spacing w:after="0" w:line="276" w:lineRule="auto"/>
        <w:tabs>
          <w:tab w:leader="none" w:pos="6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the Securities Warrants, assuming the (a) taking of all necessary corporate action to authorize and approve the issuance and terms of the Securities Warrants, the terms of the offering thereof and related matters and (b) due execution, countersignature, issuance and delivery of such Securities Warrants upon payment of the consideration for such Securities Warrants provided for in the applicable definitive purchase, underwriting or similar agreement approved by the Board and otherwise in accordance with the provisions of the applicable Warrant Agreement, such Securities Warrants will constitute valid and binding obligations of the Company, enforceable against the Company in accordance with their terms.</w:t>
      </w:r>
    </w:p>
    <w:p>
      <w:pPr>
        <w:spacing w:after="0" w:line="172" w:lineRule="exact"/>
        <w:rPr>
          <w:rFonts w:ascii="Arial" w:cs="Arial" w:eastAsia="Arial" w:hAnsi="Arial"/>
          <w:sz w:val="17"/>
          <w:szCs w:val="17"/>
          <w:color w:val="auto"/>
        </w:rPr>
      </w:pPr>
    </w:p>
    <w:p>
      <w:pPr>
        <w:ind w:right="140" w:firstLine="464"/>
        <w:spacing w:after="0" w:line="276" w:lineRule="auto"/>
        <w:tabs>
          <w:tab w:leader="none" w:pos="63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the Purchase Contracts, assuming the (a) taking of all necessary corporate action to authorize and approve the issuance and terms of the Purchase Contracts, the terms of the offering thereof and related matters and (b) due execution, issuance and delivery of the Purchase Contracts upon payment of the consideration for such Purchase Contracts provided for in the applicable definitive purchase, underwriting or similar agreement approved by the Board and otherwise in accordance with the provisions of the applicable Purchase Contract Agreement, the Purchase Contracts will constitute valid and binding obligations of the Company, enforceable against the Company in accordance with their terms.</w:t>
      </w:r>
    </w:p>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right="40" w:firstLine="464"/>
        <w:spacing w:after="0" w:line="288" w:lineRule="auto"/>
        <w:tabs>
          <w:tab w:leader="none" w:pos="636" w:val="left"/>
        </w:tabs>
        <w:numPr>
          <w:ilvl w:val="1"/>
          <w:numId w:val="58"/>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execution and terms of any Units, the related Unit Agreements and any Securities which are components of the Units, the terms of the offering thereof and related matters, (b) taking by the Trusts of all trust action to authorize and approve the issuance, execution and terms of any Trust Preferred Securities that are components of the Units,</w:t>
      </w:r>
    </w:p>
    <w:p>
      <w:pPr>
        <w:ind w:firstLine="8"/>
        <w:spacing w:after="0" w:line="286" w:lineRule="auto"/>
        <w:tabs>
          <w:tab w:leader="none" w:pos="2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taking by third parties of all necessary corporate or other action to authorize and approve the issuance and terms of any Third Party Debt Securities that are a component of the Units, the terms of the offering thereof and related matters, and (d) due execution, countersignature (where applicable), authentication, issuance and delivery of the Units, the Unit Agreements, the Securities that are components of such Units, the Trust Preferred Securities that are components of such Units and the Third Party Debt Securities that are components of such Units, in each case upon the payment of the consideration therefor provided for in the applicable definitive purchase, underwriting or similar agreement approved by the Board, and otherwise in accordance with the provisions of the applicable (i) Deposit Agreement, in the case of Depositary Shares or Receipts, (ii) Warrant Agreement, in the case of Securities Warrants, (iii) Guarantee Agreement, in the case of Guarantees, (iv) Purchase Contract Agreement, in the case of Purchase Contracts, (v) Indenture, in the case of Senior Debt Securities or Subordinated Debt Securities, (vi) Junior Subordinated Indenture, in the case of Junior Subordinated Debt Securities, (vii) the certificate of trust for the applicable Trust and the Trust Agreement, in the case of Trust Preferred Securities, and (viii) indenture or other authorizing document, in the case of Third Party Debt Securities, such Units will be validly issued and will entitle the holders thereof to the rights specified in the Unit Agreements.</w:t>
      </w:r>
    </w:p>
    <w:p>
      <w:pPr>
        <w:spacing w:after="0" w:line="170" w:lineRule="exact"/>
        <w:rPr>
          <w:rFonts w:ascii="Arial" w:cs="Arial" w:eastAsia="Arial" w:hAnsi="Arial"/>
          <w:sz w:val="16"/>
          <w:szCs w:val="16"/>
          <w:color w:val="auto"/>
        </w:rPr>
      </w:pPr>
    </w:p>
    <w:p>
      <w:pPr>
        <w:ind w:right="460" w:firstLine="464"/>
        <w:spacing w:after="0" w:line="276" w:lineRule="auto"/>
        <w:tabs>
          <w:tab w:leader="none" w:pos="636" w:val="left"/>
        </w:tabs>
        <w:numPr>
          <w:ilvl w:val="1"/>
          <w:numId w:val="59"/>
        </w:numPr>
        <w:rPr>
          <w:rFonts w:ascii="Arial" w:cs="Arial" w:eastAsia="Arial" w:hAnsi="Arial"/>
          <w:sz w:val="17"/>
          <w:szCs w:val="17"/>
          <w:color w:val="auto"/>
        </w:rPr>
      </w:pPr>
      <w:r>
        <w:rPr>
          <w:rFonts w:ascii="Arial" w:cs="Arial" w:eastAsia="Arial" w:hAnsi="Arial"/>
          <w:sz w:val="17"/>
          <w:szCs w:val="17"/>
          <w:color w:val="auto"/>
        </w:rPr>
        <w:t>With respect to the Guarantees, assuming the (a) taking of all necessary corporate action to authorize and approve the issuance and terms of the Guarantees, the terms of the offering thereof and related matters and (b) due execution, issuance and delivery of the Guarantees upon payment of the consideration therefor provided for in the applicable definitive purchase, underwriting or similar agreement approved by the Board and otherwise in accordance with the provisions of the applicable Guarantee Agreement, such Guarantees will constitute valid and binding obligations of the Company, enforceable against the Company in accordance with their terms.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62" w:lineRule="exact"/>
        <w:rPr>
          <w:sz w:val="20"/>
          <w:szCs w:val="20"/>
          <w:color w:val="auto"/>
        </w:rPr>
      </w:pPr>
    </w:p>
    <w:p>
      <w:pPr>
        <w:jc w:val="both"/>
        <w:ind w:right="140" w:firstLine="464"/>
        <w:spacing w:after="0" w:line="264"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opinions herein reflect only the application of applicable laws of the State of New York (excluding (A) all laws, rules and regulations of cities, counties and other political subdivisions of such State and (B) the securities, blue sky, environmental, employee benefit, insurance, pension, antitrust and tax laws of such State, as to which we express no opinion), (ii) the</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laws of the United States of America (excluding the Federal securities, environmental, employee benefit, insurance, pension, antitrust and tax laws, as to which we express no opinion). The opinions set forth herein are made as of the date hereof and are subject to, and may be limited by, future changes in factual matters,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 We have relied upon, insofar as the opinions expressed herein relate to or are dependent upon matters governed by the law of the State of Missouri, the opinion of William L. Hutton, dated the date hereof and filed as an exhibit to the Registration Statement.</w:t>
      </w:r>
    </w:p>
    <w:p>
      <w:pPr>
        <w:spacing w:after="0" w:line="179" w:lineRule="exact"/>
        <w:rPr>
          <w:sz w:val="20"/>
          <w:szCs w:val="20"/>
          <w:color w:val="auto"/>
        </w:rPr>
      </w:pPr>
    </w:p>
    <w:p>
      <w:pPr>
        <w:ind w:right="80" w:firstLine="464"/>
        <w:spacing w:after="0" w:line="272" w:lineRule="auto"/>
        <w:tabs>
          <w:tab w:leader="none" w:pos="711" w:val="left"/>
        </w:tabs>
        <w:numPr>
          <w:ilvl w:val="1"/>
          <w:numId w:val="61"/>
        </w:numPr>
        <w:rPr>
          <w:rFonts w:ascii="Arial" w:cs="Arial" w:eastAsia="Arial" w:hAnsi="Arial"/>
          <w:sz w:val="17"/>
          <w:szCs w:val="17"/>
          <w:color w:val="auto"/>
        </w:rPr>
      </w:pPr>
      <w:r>
        <w:rPr>
          <w:rFonts w:ascii="Arial" w:cs="Arial" w:eastAsia="Arial" w:hAnsi="Arial"/>
          <w:sz w:val="17"/>
          <w:szCs w:val="17"/>
          <w:color w:val="auto"/>
        </w:rPr>
        <w:t>Our opinions contained herein are limited by (i) applicable bankruptcy, insolvency, reorganization, receivership, moratorium or similar laws affecting or relating to the rights and remedies of creditors generally, including, without limitation, laws relating to fraudulent transfers or conveyances, preferences and equitable subordination, (ii) general principles of equity (regardless of whether considered in a proceeding in equity or at law), (iii) an implied covenant of good faith and fair dealing, (iv) requirements that a claim with respect to any Debt Securities or Guarantees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77" w:lineRule="exact"/>
        <w:rPr>
          <w:rFonts w:ascii="Arial" w:cs="Arial" w:eastAsia="Arial" w:hAnsi="Arial"/>
          <w:sz w:val="17"/>
          <w:szCs w:val="17"/>
          <w:color w:val="auto"/>
        </w:rPr>
      </w:pPr>
    </w:p>
    <w:p>
      <w:pPr>
        <w:ind w:right="60" w:firstLine="464"/>
        <w:spacing w:after="0" w:line="288" w:lineRule="auto"/>
        <w:tabs>
          <w:tab w:leader="none" w:pos="701" w:val="left"/>
        </w:tabs>
        <w:numPr>
          <w:ilvl w:val="1"/>
          <w:numId w:val="61"/>
        </w:numPr>
        <w:rPr>
          <w:rFonts w:ascii="Arial" w:cs="Arial" w:eastAsia="Arial" w:hAnsi="Arial"/>
          <w:sz w:val="16"/>
          <w:szCs w:val="16"/>
          <w:color w:val="auto"/>
        </w:rPr>
      </w:pPr>
      <w:r>
        <w:rPr>
          <w:rFonts w:ascii="Arial" w:cs="Arial" w:eastAsia="Arial" w:hAnsi="Arial"/>
          <w:sz w:val="16"/>
          <w:szCs w:val="16"/>
          <w:color w:val="auto"/>
        </w:rPr>
        <w:t>Our opinions are further subject to the effect of generally applicable rules of law arising from statutes, judicial and administrative decisions, and the rules and regulations of governmental authorities that: (i) require compliance with or impose standards relating to fiduciary duties or fairness; (ii) limit or affect the enforcement of provisions of a contract that purport to require waiver of the obligations of good faith, fair dealing, diligence and reasonableness;</w:t>
      </w:r>
    </w:p>
    <w:p>
      <w:pPr>
        <w:ind w:right="20" w:firstLine="8"/>
        <w:spacing w:after="0" w:line="281" w:lineRule="auto"/>
        <w:tabs>
          <w:tab w:leader="none" w:pos="3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limit the availability of a remedy under certain circumstances where another remedy has been elected; (iv)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(v) may, where less than all of the contract may be unenforceable, limit the enforceability of the balance of the contract to circumstances in which the unenforceable portion is not an essential part of the agreed exchange;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 and afford judicial discretion regarding the determination of damages and entitlement to attorneys’ fees.</w:t>
      </w:r>
    </w:p>
    <w:p>
      <w:pPr>
        <w:spacing w:after="0" w:line="210" w:lineRule="exact"/>
        <w:rPr>
          <w:rFonts w:ascii="Arial" w:cs="Arial" w:eastAsia="Arial" w:hAnsi="Arial"/>
          <w:sz w:val="18"/>
          <w:szCs w:val="18"/>
          <w:color w:val="auto"/>
        </w:rPr>
      </w:pPr>
    </w:p>
    <w:p>
      <w:pPr>
        <w:ind w:right="80" w:firstLine="464"/>
        <w:spacing w:after="0" w:line="286" w:lineRule="auto"/>
        <w:tabs>
          <w:tab w:leader="none" w:pos="711" w:val="left"/>
        </w:tabs>
        <w:numPr>
          <w:ilvl w:val="1"/>
          <w:numId w:val="63"/>
        </w:numPr>
        <w:rPr>
          <w:rFonts w:ascii="Arial" w:cs="Arial" w:eastAsia="Arial" w:hAnsi="Arial"/>
          <w:sz w:val="17"/>
          <w:szCs w:val="17"/>
          <w:color w:val="auto"/>
        </w:rPr>
      </w:pPr>
      <w:r>
        <w:rPr>
          <w:rFonts w:ascii="Arial" w:cs="Arial" w:eastAsia="Arial" w:hAnsi="Arial"/>
          <w:sz w:val="17"/>
          <w:szCs w:val="17"/>
          <w:color w:val="auto"/>
        </w:rPr>
        <w:t>We express no opinion as to the enforceability of any rights to indemnification or contribution provided for in any Indentures, Warrant Agreements, Purchase Contract Agreements, Unit Agreements, Deposit Agreement, Guarantee Agreements or other agreements which are violative of public policy underlying any law, rule or regulation (including any Federal or state securities law, rule or regulation) or the legality of such rights.</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140" w:firstLine="464"/>
        <w:spacing w:after="0" w:line="291" w:lineRule="auto"/>
        <w:tabs>
          <w:tab w:leader="none" w:pos="701"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We express no opinion as to the enforceability of any provision in any Indentures, Warrant Agreements, Purchase Contract Agreements, Unit Agreements, Deposit Agreement, Guarantee Agreements or other agreements purporting or attempting to (i) confer exclusive jurisdiction and/or venue upon certain courts or otherwise waive the defenses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(ii) confer subject matter jurisdiction on a court not having independent grounds therefor, (iii) modify or waive the requirements for effective service of process for any action that may be brought, (iv) waive the right of the Company or any other person to a trial by jury, (v) provide that remedies are cumulative or that decisions by a party are conclusive, (vi) modify or waive the rights to notice, legal defenses, statutes of limitations and statutes of repose (including the tolling of the same) or other benefits that cannot be waived under applicable law, (vii) govern choice of law or conflict of laws, or (viii) provide for or grant a power of attorney.</w:t>
      </w:r>
    </w:p>
    <w:p>
      <w:pPr>
        <w:spacing w:after="0" w:line="167" w:lineRule="exact"/>
        <w:rPr>
          <w:rFonts w:ascii="Arial" w:cs="Arial" w:eastAsia="Arial" w:hAnsi="Arial"/>
          <w:sz w:val="16"/>
          <w:szCs w:val="16"/>
          <w:color w:val="auto"/>
        </w:rPr>
      </w:pPr>
    </w:p>
    <w:p>
      <w:pPr>
        <w:ind w:firstLine="464"/>
        <w:spacing w:after="0" w:line="302" w:lineRule="auto"/>
        <w:tabs>
          <w:tab w:leader="none" w:pos="681" w:val="left"/>
        </w:tabs>
        <w:numPr>
          <w:ilvl w:val="0"/>
          <w:numId w:val="64"/>
        </w:numPr>
        <w:rPr>
          <w:rFonts w:ascii="Arial" w:cs="Arial" w:eastAsia="Arial" w:hAnsi="Arial"/>
          <w:sz w:val="16"/>
          <w:szCs w:val="16"/>
          <w:color w:val="auto"/>
        </w:rPr>
      </w:pPr>
      <w:r>
        <w:rPr>
          <w:rFonts w:ascii="Arial" w:cs="Arial" w:eastAsia="Arial" w:hAnsi="Arial"/>
          <w:sz w:val="16"/>
          <w:szCs w:val="16"/>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letter (if any) as we may reasonably consider necessary or appropriate by reason of the terms of such Securities.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the use of our name under the caption “Legal Matters” in the Prospectus. We also consent to your filing copies of this opinion letter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 Cave LLP</w:t>
      </w:r>
    </w:p>
    <w:p>
      <w:pPr>
        <w:sectPr>
          <w:pgSz w:w="11900" w:h="16838" w:orient="portrait"/>
          <w:cols w:equalWidth="0" w:num="1">
            <w:col w:w="11420"/>
          </w:cols>
          <w:pgMar w:left="240" w:top="2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172085</wp:posOffset>
            </wp:positionV>
            <wp:extent cx="1724025" cy="1020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2402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Reinsurance Group of America,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16600 Swingley 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Chesterfield, Missouri 63017-1706</w:t>
      </w:r>
    </w:p>
    <w:p>
      <w:pPr>
        <w:spacing w:after="0" w:line="238" w:lineRule="exact"/>
        <w:rPr>
          <w:sz w:val="20"/>
          <w:szCs w:val="20"/>
          <w:color w:val="auto"/>
        </w:rPr>
      </w:pPr>
    </w:p>
    <w:p>
      <w:pPr>
        <w:ind w:left="114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RGA Capital Trust III and RGA Capital Trust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We have acted as special Delaware counsel for RGA Capital Trust III (“Trust III”) and RGA Capital Trust IV (“Trust IV”), each a Delaware statutory trust, in connection with the matters set forth herein. Trust III and Trust IV are hereinafter collectively referred to as the “Trusts” and sometimes hereinafter individually referred to as a “Trust”. At your request, this opinion is being furnished to you.</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have examined and relied upon such records, documents, certificates and other instruments as in our judgment are necessary or appropriate to enable us to render the opinions expressed below, including the following documents:</w:t>
      </w:r>
    </w:p>
    <w:p>
      <w:pPr>
        <w:spacing w:after="0" w:line="76" w:lineRule="exact"/>
        <w:rPr>
          <w:sz w:val="20"/>
          <w:szCs w:val="20"/>
          <w:color w:val="auto"/>
        </w:rPr>
      </w:pPr>
    </w:p>
    <w:p>
      <w:pPr>
        <w:ind w:left="1480" w:right="420" w:hanging="567"/>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Certificate of Trust of Trust III (the “Trust III Certificate of Trust”), as filed in the office of the Secretary of State of the State of Delaware (the “Secretary of State”) on August 4, 2003;</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Certificate of Trust of Trust IV (the “Trust IV Certificate of Trust,” together with the Trust III Certificate of Trust, the “Certificates of Trust”), as filed in the office of the Secretary of State on August 4, 2003;</w:t>
      </w:r>
    </w:p>
    <w:p>
      <w:pPr>
        <w:spacing w:after="0" w:line="75" w:lineRule="exact"/>
        <w:rPr>
          <w:rFonts w:ascii="Arial" w:cs="Arial" w:eastAsia="Arial" w:hAnsi="Arial"/>
          <w:sz w:val="18"/>
          <w:szCs w:val="18"/>
          <w:color w:val="auto"/>
        </w:rPr>
      </w:pPr>
    </w:p>
    <w:p>
      <w:pPr>
        <w:ind w:left="1480" w:right="800" w:hanging="567"/>
        <w:spacing w:after="0" w:line="27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 Agreement of Trust III, dated as of August 4, 2003, among Reinsurance Group of America, Incorporated, a Missouri corporation (the “Company”), and the trustees of Trust III named therein;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 Agreement of Trust IV, dated as of August 4, 2003, among the Company and the trustees of Trust IV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99695</wp:posOffset>
            </wp:positionV>
            <wp:extent cx="481965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19650" cy="5829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RGA Capital Trust III &amp; RGA Capital Trust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Reinsurance Group of America,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20"/>
        <w:spacing w:after="0"/>
        <w:tabs>
          <w:tab w:leader="none" w:pos="1460" w:val="left"/>
          <w:tab w:leader="none" w:pos="8840" w:val="left"/>
          <w:tab w:leader="none" w:pos="99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The Registration Statement on Form S-3, which constitutes Registration Statements Nos. 333-[</w:t>
      </w:r>
      <w:r>
        <w:rPr>
          <w:sz w:val="20"/>
          <w:szCs w:val="20"/>
          <w:color w:val="auto"/>
        </w:rPr>
        <w:tab/>
      </w:r>
      <w:r>
        <w:rPr>
          <w:rFonts w:ascii="Arial" w:cs="Arial" w:eastAsia="Arial" w:hAnsi="Arial"/>
          <w:sz w:val="18"/>
          <w:szCs w:val="18"/>
          <w:color w:val="auto"/>
        </w:rPr>
        <w:t>], 333-[</w:t>
      </w:r>
      <w:r>
        <w:rPr>
          <w:sz w:val="20"/>
          <w:szCs w:val="20"/>
          <w:color w:val="auto"/>
        </w:rPr>
        <w:tab/>
      </w:r>
      <w:r>
        <w:rPr>
          <w:rFonts w:ascii="Arial" w:cs="Arial" w:eastAsia="Arial" w:hAnsi="Arial"/>
          <w:sz w:val="16"/>
          <w:szCs w:val="16"/>
          <w:color w:val="auto"/>
        </w:rPr>
        <w:t>]-01 and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-10160</wp:posOffset>
            </wp:positionV>
            <wp:extent cx="3429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-10160</wp:posOffset>
            </wp:positionV>
            <wp:extent cx="3429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 w:lineRule="exact"/>
        <w:rPr>
          <w:sz w:val="20"/>
          <w:szCs w:val="20"/>
          <w:color w:val="auto"/>
        </w:rPr>
      </w:pPr>
    </w:p>
    <w:p>
      <w:pPr>
        <w:ind w:left="1480"/>
        <w:spacing w:after="0" w:line="254" w:lineRule="auto"/>
        <w:rPr>
          <w:sz w:val="20"/>
          <w:szCs w:val="20"/>
          <w:color w:val="auto"/>
        </w:rPr>
      </w:pPr>
      <w:r>
        <w:rPr>
          <w:rFonts w:ascii="Arial" w:cs="Arial" w:eastAsia="Arial" w:hAnsi="Arial"/>
          <w:sz w:val="18"/>
          <w:szCs w:val="18"/>
          <w:color w:val="auto"/>
        </w:rPr>
        <w:t>[ ]-02 (collectively, the “Registration Statement”), including a preliminary prospectus (the “Prospectus”), relating to, among other things, the Preferred Securities of the Trusts representing preferred beneficial interests in the assets of the Trusts (each, a “Preferred Security” and collectively, the “Preferred Securities”), in the form to be filed by the Company and the Trusts with the Securities and Exchange Commission on or about May 24, 2017;</w:t>
      </w:r>
    </w:p>
    <w:p>
      <w:pPr>
        <w:spacing w:after="0" w:line="95" w:lineRule="exact"/>
        <w:rPr>
          <w:sz w:val="20"/>
          <w:szCs w:val="20"/>
          <w:color w:val="auto"/>
        </w:rPr>
      </w:pPr>
    </w:p>
    <w:p>
      <w:pPr>
        <w:ind w:left="1480" w:right="60" w:hanging="567"/>
        <w:spacing w:after="0" w:line="264"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form of Amended and Restated Trust Agreement for each of the Trusts, to be entered into among the Company and the trustees of the Trust named therein (collectively, the “Trust Agreements” and individually, a “Trust Agreement”), incorporated by reference in the Registration Statement (including Exhibit D thereto);</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Officer’s Certificate of an officer of the Company as to certain factual matters, provided on the date hereof;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Certificate of Good Standing for each of the Trusts, dated May 24, 2017, obtained from the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-1339215</wp:posOffset>
            </wp:positionV>
            <wp:extent cx="3429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As to various questions of fact material to our opinion, we have relied upon the representations made in the foregoing documents and upon certificates of officers of the Company. Initially capitalized terms used herein and not otherwise defined are used as defined in the Trust Agreements.</w:t>
      </w:r>
    </w:p>
    <w:p>
      <w:pPr>
        <w:spacing w:after="0" w:line="124"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With respect to all documents examined by us, we have assumed (i) the authenticity of all documents submitted to us as authentic originals, (ii) the conformity with the originals of all documents submitted to us as copies or forms, and (iii) the genuineness of all signatures.</w:t>
      </w:r>
    </w:p>
    <w:p>
      <w:pPr>
        <w:spacing w:after="0" w:line="147"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For purposes of this opinion, we have assumed (i) except to the extent provided in paragraph 1 below, the due organization or due formation, as the case may be, and valid existence in good standing of each party to the documents examined by us under the laws of the jurisdiction governing its organization or formation, (ii) the legal capacity of natural persons who are parties to the documents examined by us, (iii) other than the Trusts, that each of the parties to the documents examined by us has the power and authority to execute and deliver, and to perform its obligations under, such documents,</w:t>
      </w:r>
    </w:p>
    <w:p>
      <w:pPr>
        <w:spacing w:after="0" w:line="2" w:lineRule="exact"/>
        <w:rPr>
          <w:sz w:val="20"/>
          <w:szCs w:val="20"/>
          <w:color w:val="auto"/>
        </w:rPr>
      </w:pPr>
    </w:p>
    <w:p>
      <w:pPr>
        <w:ind w:firstLine="8"/>
        <w:spacing w:after="0" w:line="254" w:lineRule="auto"/>
        <w:tabs>
          <w:tab w:leader="none" w:pos="3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the Trusts, the due authorization, execution and delivery by all parties thereto of all documents examined by us, (v) the receipt by each Person to whom a Preferred Security is to be issued by the Trusts (collectively, the “Preferred Security Holders”) of a Preferred Security Certificate for such Preferred Security and the payment for such Preferred Security, in accordance with the Trust Agreements and as contemplated by the Registration Statement, and (vi) that the Preferred Securities are</w:t>
      </w:r>
    </w:p>
    <w:p>
      <w:pPr>
        <w:sectPr>
          <w:pgSz w:w="11900" w:h="16838" w:orient="portrait"/>
          <w:cols w:equalWidth="0" w:num="1">
            <w:col w:w="11320"/>
          </w:cols>
          <w:pgMar w:left="240" w:top="27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RGA Capital Trust III &amp; RGA Capital Trust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Reinsurance Group of America,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authenticated, issued and sold to the Preferred Security Holders in accordance with the Trust Agreements and as contemplated by the Registration Statement. We have not participated in the preparation of the Registration Statement (except for providing this opinion) or the Prospectus and assume no responsibility for their contents, except for this opinion.</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This opinion is limited to the Delaware Statutory Trust Act, including the statutory provisions and all applicable provisions of the Delaware Constitution and reported judicial decisions interpreting these laws, and we have not considered and express no opinion on the laws of any other jurisdiction, including federal laws and rules and regulations relating thereto. Our opinions are rendered only with respect to Delaware laws and rules, regulations and orders thereunder which are currently in effect.</w:t>
      </w:r>
    </w:p>
    <w:p>
      <w:pPr>
        <w:spacing w:after="0" w:line="187" w:lineRule="exact"/>
        <w:rPr>
          <w:sz w:val="20"/>
          <w:szCs w:val="20"/>
          <w:color w:val="auto"/>
        </w:rPr>
      </w:pPr>
    </w:p>
    <w:p>
      <w:pPr>
        <w:ind w:right="480" w:firstLine="913"/>
        <w:spacing w:after="0" w:line="342" w:lineRule="auto"/>
        <w:rPr>
          <w:sz w:val="20"/>
          <w:szCs w:val="20"/>
          <w:color w:val="auto"/>
        </w:rPr>
      </w:pPr>
      <w:r>
        <w:rPr>
          <w:rFonts w:ascii="Arial" w:cs="Arial" w:eastAsia="Arial" w:hAnsi="Arial"/>
          <w:sz w:val="16"/>
          <w:szCs w:val="16"/>
          <w:color w:val="auto"/>
        </w:rPr>
        <w:t>Based upon the foregoing, and upon our examination of such questions of law and statutes of the State of Delaware as we have considered necessary or appropriate, and subject to the assumptions, qualifications, limitations and exceptions set forth herein, we are of the opinion that:</w:t>
      </w:r>
    </w:p>
    <w:p>
      <w:pPr>
        <w:spacing w:after="0" w:line="16" w:lineRule="exact"/>
        <w:rPr>
          <w:sz w:val="20"/>
          <w:szCs w:val="20"/>
          <w:color w:val="auto"/>
        </w:rPr>
      </w:pPr>
    </w:p>
    <w:p>
      <w:pPr>
        <w:ind w:left="1100" w:hanging="179"/>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of the Trusts has been duly formed and is validly existing in good standing as a statutory trust under the Statutory Trust Act.</w:t>
      </w:r>
    </w:p>
    <w:p>
      <w:pPr>
        <w:spacing w:after="0" w:line="236" w:lineRule="exact"/>
        <w:rPr>
          <w:rFonts w:ascii="Arial" w:cs="Arial" w:eastAsia="Arial" w:hAnsi="Arial"/>
          <w:sz w:val="17"/>
          <w:szCs w:val="17"/>
          <w:color w:val="auto"/>
        </w:rPr>
      </w:pPr>
    </w:p>
    <w:p>
      <w:pPr>
        <w:ind w:firstLine="921"/>
        <w:spacing w:after="0" w:line="277" w:lineRule="auto"/>
        <w:tabs>
          <w:tab w:leader="none" w:pos="10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Preferred Securities of each Trust will be, when issued, validly issued, fully paid and nonassessable beneficial interests in the assets of the applicable Trust, subject to the qualifications set forth in paragraph 3 below.</w:t>
      </w:r>
    </w:p>
    <w:p>
      <w:pPr>
        <w:spacing w:after="0" w:line="170" w:lineRule="exact"/>
        <w:rPr>
          <w:rFonts w:ascii="Arial" w:cs="Arial" w:eastAsia="Arial" w:hAnsi="Arial"/>
          <w:sz w:val="18"/>
          <w:szCs w:val="18"/>
          <w:color w:val="auto"/>
        </w:rPr>
      </w:pPr>
    </w:p>
    <w:p>
      <w:pPr>
        <w:ind w:right="40" w:firstLine="921"/>
        <w:spacing w:after="0" w:line="264" w:lineRule="auto"/>
        <w:tabs>
          <w:tab w:leader="none" w:pos="10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Preferred Security Holders, as beneficial owners of the applicable Trust, will be entitled to the same limitation of personal liability extended to stockholders of private corporations for profit organized under the General Corporation Law of the State of Delaware. We note that the Preferred Security Holders may be obligated to make payments as set forth in the Trust Agreements.</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consent to the filing of this opinion with the Securities and Exchange Commission as an exhibit to the Registration Statement. We hereby consent to the use of our name under the heading “Legal Matters” in the Prospectus. In giving the foregoing consents, we do not thereby admit that we come within the category of persons whose consent is required under Section 7 of the Securities Act of 1933, as amended, or the rules and regulations of the Securities and Exchange Commission thereunder.</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Richards, Layton &amp; Finger,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EAM/MFC/syh</w:t>
      </w:r>
    </w:p>
    <w:p>
      <w:pPr>
        <w:sectPr>
          <w:pgSz w:w="11900" w:h="16838" w:orient="portrait"/>
          <w:cols w:equalWidth="0" w:num="1">
            <w:col w:w="11360"/>
          </w:cols>
          <w:pgMar w:left="240" w:top="274" w:right="29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Reinsurance Group of America,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Certificate</w:t>
      </w:r>
    </w:p>
    <w:p>
      <w:pPr>
        <w:spacing w:after="0" w:line="21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undersigned, an authorized officer of Reinsurance Group of America, Incorporated (“RGA”), Depositor, pursuant to the Trust Agreements of RGA Capital Trust III (“Trust III”) and RGA Capital Trust IV (“Trust IV”), each of which is dated as of August 4, 2003 (the “Trust Agreements”), between Reinsurance Groups of America, Incorporated, as Depositor, and the Trustees named therein does hereby certify to Richards, Layton &amp; Finger, P.A. that each of the Trust Agreements constitute and, when executed, the Amended and Restated Trust Agreements of Trust III and Trust IV, each of which will be filed as an exhibit to the Registration Statement on Form S-3 to be filed by RGA, Trust III and Trust IV with the Securities and Exchange Commission on May 24, 2017 (the “Amended and Restated Trust Agreements), will constitute the entire agreement among the parties thereto with respect to the subject matter thereof, including with respect to the creation, operation and termination of the applicable Trust, and that Certificates of Trust will be in full force and effect and will not be amended.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L. Hutton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L.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400"/>
          </w:cols>
          <w:pgMar w:left="240" w:top="274"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44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9"/>
            <w:vMerge w:val="restart"/>
          </w:tcPr>
          <w:p>
            <w:pPr>
              <w:jc w:val="right"/>
              <w:ind w:right="740"/>
              <w:spacing w:after="0"/>
              <w:rPr>
                <w:sz w:val="20"/>
                <w:szCs w:val="20"/>
                <w:color w:val="auto"/>
              </w:rPr>
            </w:pPr>
            <w:r>
              <w:rPr>
                <w:rFonts w:ascii="Arial" w:cs="Arial" w:eastAsia="Arial" w:hAnsi="Arial"/>
                <w:sz w:val="14"/>
                <w:szCs w:val="14"/>
                <w:color w:val="auto"/>
              </w:rPr>
              <w:t>Years Ended December 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9"/>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4"/>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1,008.5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2"/>
              </w:rPr>
              <w:t>Undistributed income of investees accounted for under the equity method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Adjusted earnings before fixed charges</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1,005.5</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1,042.3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Add fixed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credited on reinsurance contracts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One-third of rentals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earnings plus fixed charges</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1,419.8</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1,248.5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1,571.0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1,244.3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1,575.1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565.5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interest credited on reinsurance contracts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Total fixed charges excluding interest credited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earnings plus fixed charges excluding interest credited under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contracts</w:t>
            </w:r>
            <w:r>
              <w:rPr>
                <w:rFonts w:ascii="Arial" w:cs="Arial" w:eastAsia="Arial" w:hAnsi="Arial"/>
                <w:sz w:val="15"/>
                <w:szCs w:val="15"/>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1,039.9</w:t>
            </w: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1,210.4</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excluding interest credited under</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reinsurance contracts</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information is not required, but the Company believes it provides additional useful information on the coverage of fixed charges that are not related to its products.</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February 28, 2017, relating to the financial statements and financial statement schedules of Reinsurance Group of America, Incorporated and the effectiveness of Reinsurance Group of America, Incorporated’s internal control over financial reporting, appearing in the Annual Report on Form 10-K of Reinsurance Group of America, Incorporated for the year ended December 31, 2016, and to the reference to us under the heading “Experts” in the Prospectus, which is part of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Saint Louis, Missouri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24, 2017</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7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810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if not a U.S. national bank)</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400 South Hope Street Suite 500</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Los Angeles, California</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REINSURANCE GROUP OF AMERICA, INCORPORATED</w:t>
            </w:r>
          </w:p>
        </w:tc>
        <w:tc>
          <w:tcPr>
            <w:tcW w:w="3320" w:type="dxa"/>
            <w:vAlign w:val="bottom"/>
          </w:tcPr>
          <w:p>
            <w:pPr>
              <w:spacing w:after="0"/>
              <w:rPr>
                <w:sz w:val="24"/>
                <w:szCs w:val="24"/>
                <w:color w:val="auto"/>
              </w:rPr>
            </w:pPr>
          </w:p>
        </w:tc>
      </w:tr>
      <w:tr>
        <w:trPr>
          <w:trHeight w:val="186"/>
        </w:trPr>
        <w:tc>
          <w:tcPr>
            <w:tcW w:w="8100" w:type="dxa"/>
            <w:vAlign w:val="bottom"/>
            <w:gridSpan w:val="3"/>
          </w:tcPr>
          <w:p>
            <w:pPr>
              <w:jc w:val="center"/>
              <w:ind w:left="323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3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0"/>
        </w:trPr>
        <w:tc>
          <w:tcPr>
            <w:tcW w:w="810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46-1627032</w:t>
            </w:r>
          </w:p>
        </w:tc>
      </w:tr>
      <w:tr>
        <w:trPr>
          <w:trHeight w:val="149"/>
        </w:trPr>
        <w:tc>
          <w:tcPr>
            <w:tcW w:w="810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16600 Swingley Ridge Road</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Chesterfield, 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63017-1706</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7"/>
        </w:trPr>
        <w:tc>
          <w:tcPr>
            <w:tcW w:w="4520" w:type="dxa"/>
            <w:vAlign w:val="bottom"/>
          </w:tcPr>
          <w:p>
            <w:pPr>
              <w:spacing w:after="0"/>
              <w:rPr>
                <w:sz w:val="24"/>
                <w:szCs w:val="24"/>
                <w:color w:val="auto"/>
              </w:rPr>
            </w:pPr>
          </w:p>
        </w:tc>
        <w:tc>
          <w:tcPr>
            <w:tcW w:w="35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8"/>
              </w:rPr>
              <w:t>Senior Debt Securities</w:t>
            </w:r>
          </w:p>
        </w:tc>
        <w:tc>
          <w:tcPr>
            <w:tcW w:w="3320" w:type="dxa"/>
            <w:vAlign w:val="bottom"/>
          </w:tcPr>
          <w:p>
            <w:pPr>
              <w:spacing w:after="0"/>
              <w:rPr>
                <w:sz w:val="24"/>
                <w:szCs w:val="24"/>
                <w:color w:val="auto"/>
              </w:rPr>
            </w:pPr>
          </w:p>
        </w:tc>
      </w:tr>
      <w:tr>
        <w:trPr>
          <w:trHeight w:val="212"/>
        </w:trPr>
        <w:tc>
          <w:tcPr>
            <w:tcW w:w="8100" w:type="dxa"/>
            <w:vAlign w:val="bottom"/>
            <w:gridSpan w:val="3"/>
          </w:tcPr>
          <w:p>
            <w:pPr>
              <w:jc w:val="center"/>
              <w:ind w:left="3259"/>
              <w:spacing w:after="0"/>
              <w:rPr>
                <w:sz w:val="20"/>
                <w:szCs w:val="20"/>
                <w:color w:val="auto"/>
              </w:rPr>
            </w:pPr>
            <w:r>
              <w:rPr>
                <w:rFonts w:ascii="Arial" w:cs="Arial" w:eastAsia="Arial" w:hAnsi="Arial"/>
                <w:sz w:val="18"/>
                <w:szCs w:val="18"/>
                <w:b w:val="1"/>
                <w:bCs w:val="1"/>
                <w:color w:val="auto"/>
                <w:w w:val="89"/>
              </w:rPr>
              <w:t>and Subordinated Debt Securities</w:t>
            </w:r>
          </w:p>
        </w:tc>
        <w:tc>
          <w:tcPr>
            <w:tcW w:w="3320" w:type="dxa"/>
            <w:vAlign w:val="bottom"/>
          </w:tcPr>
          <w:p>
            <w:pPr>
              <w:spacing w:after="0"/>
              <w:rPr>
                <w:sz w:val="18"/>
                <w:szCs w:val="18"/>
                <w:color w:val="auto"/>
              </w:rPr>
            </w:pPr>
          </w:p>
        </w:tc>
      </w:tr>
      <w:tr>
        <w:trPr>
          <w:trHeight w:val="186"/>
        </w:trPr>
        <w:tc>
          <w:tcPr>
            <w:tcW w:w="4520" w:type="dxa"/>
            <w:vAlign w:val="bottom"/>
          </w:tcPr>
          <w:p>
            <w:pPr>
              <w:spacing w:after="0"/>
              <w:rPr>
                <w:sz w:val="16"/>
                <w:szCs w:val="16"/>
                <w:color w:val="auto"/>
              </w:rPr>
            </w:pPr>
          </w:p>
        </w:tc>
        <w:tc>
          <w:tcPr>
            <w:tcW w:w="35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(Title of the indenture securities)</w:t>
            </w:r>
          </w:p>
        </w:tc>
        <w:tc>
          <w:tcPr>
            <w:tcW w:w="33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ind w:left="452" w:hanging="452"/>
        <w:spacing w:after="0"/>
        <w:tabs>
          <w:tab w:leader="none" w:pos="4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73"/>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7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79" w:name="page80"/>
    <w:bookmarkEnd w:id="79"/>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00" w:val="left"/>
          <w:tab w:leader="none" w:pos="290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440"/>
            <w:col w:w="60" w:space="620"/>
            <w:col w:w="752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7" w:right="23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7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810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if not a U.S. national bank)</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400 South Hope Street Suite 500</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Los Angeles, California</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REINSURANCE GROUP OF AMERICA, INCORPORATED</w:t>
            </w:r>
          </w:p>
        </w:tc>
        <w:tc>
          <w:tcPr>
            <w:tcW w:w="3320" w:type="dxa"/>
            <w:vAlign w:val="bottom"/>
          </w:tcPr>
          <w:p>
            <w:pPr>
              <w:spacing w:after="0"/>
              <w:rPr>
                <w:sz w:val="24"/>
                <w:szCs w:val="24"/>
                <w:color w:val="auto"/>
              </w:rPr>
            </w:pPr>
          </w:p>
        </w:tc>
      </w:tr>
      <w:tr>
        <w:trPr>
          <w:trHeight w:val="186"/>
        </w:trPr>
        <w:tc>
          <w:tcPr>
            <w:tcW w:w="8100" w:type="dxa"/>
            <w:vAlign w:val="bottom"/>
            <w:gridSpan w:val="3"/>
          </w:tcPr>
          <w:p>
            <w:pPr>
              <w:jc w:val="center"/>
              <w:ind w:left="323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3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0"/>
        </w:trPr>
        <w:tc>
          <w:tcPr>
            <w:tcW w:w="810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46-1627032</w:t>
            </w:r>
          </w:p>
        </w:tc>
      </w:tr>
      <w:tr>
        <w:trPr>
          <w:trHeight w:val="149"/>
        </w:trPr>
        <w:tc>
          <w:tcPr>
            <w:tcW w:w="810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16600 Swingley Ridge Road</w:t>
            </w:r>
          </w:p>
        </w:tc>
        <w:tc>
          <w:tcPr>
            <w:tcW w:w="3320" w:type="dxa"/>
            <w:vAlign w:val="bottom"/>
          </w:tcPr>
          <w:p>
            <w:pPr>
              <w:spacing w:after="0"/>
              <w:rPr>
                <w:sz w:val="24"/>
                <w:szCs w:val="24"/>
                <w:color w:val="auto"/>
              </w:rPr>
            </w:pPr>
          </w:p>
        </w:tc>
      </w:tr>
      <w:tr>
        <w:trPr>
          <w:trHeight w:val="212"/>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Chesterfield, 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63017-1706</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0"/>
              </w:rPr>
              <w:t>Junior Subordinated Debt Securities</w:t>
            </w:r>
          </w:p>
        </w:tc>
        <w:tc>
          <w:tcPr>
            <w:tcW w:w="332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5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(Title of the indenture securities)</w:t>
            </w:r>
          </w:p>
        </w:tc>
        <w:tc>
          <w:tcPr>
            <w:tcW w:w="33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ind w:left="452" w:hanging="452"/>
        <w:spacing w:after="0"/>
        <w:tabs>
          <w:tab w:leader="none" w:pos="4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7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85" w:name="page86"/>
    <w:bookmarkEnd w:id="85"/>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00" w:val="left"/>
          <w:tab w:leader="none" w:pos="290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6"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560"/>
            <w:col w:w="60" w:space="600"/>
            <w:col w:w="7420"/>
          </w:cols>
          <w:pgMar w:left="240" w:top="256"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6" w:right="2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82"/>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810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if not a U.S. national bank)</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400 South Hope Street Suite 500</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Los Angeles, California</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REINSURANCE GROUP OF AMERICA, INCORPORATED</w:t>
            </w:r>
          </w:p>
        </w:tc>
        <w:tc>
          <w:tcPr>
            <w:tcW w:w="3320" w:type="dxa"/>
            <w:vAlign w:val="bottom"/>
          </w:tcPr>
          <w:p>
            <w:pPr>
              <w:spacing w:after="0"/>
              <w:rPr>
                <w:sz w:val="24"/>
                <w:szCs w:val="24"/>
                <w:color w:val="auto"/>
              </w:rPr>
            </w:pPr>
          </w:p>
        </w:tc>
      </w:tr>
      <w:tr>
        <w:trPr>
          <w:trHeight w:val="186"/>
        </w:trPr>
        <w:tc>
          <w:tcPr>
            <w:tcW w:w="8100" w:type="dxa"/>
            <w:vAlign w:val="bottom"/>
            <w:gridSpan w:val="3"/>
          </w:tcPr>
          <w:p>
            <w:pPr>
              <w:jc w:val="center"/>
              <w:ind w:left="323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3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0"/>
        </w:trPr>
        <w:tc>
          <w:tcPr>
            <w:tcW w:w="810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46-1627032</w:t>
            </w:r>
          </w:p>
        </w:tc>
      </w:tr>
      <w:tr>
        <w:trPr>
          <w:trHeight w:val="149"/>
        </w:trPr>
        <w:tc>
          <w:tcPr>
            <w:tcW w:w="810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16600 Swingley Ridge Road</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Chesterfield, 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63017-1706</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3"/>
              </w:rPr>
              <w:t>Guarantee of Preferred Securities of RGA Capital Trust III</w:t>
            </w:r>
          </w:p>
        </w:tc>
        <w:tc>
          <w:tcPr>
            <w:tcW w:w="332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5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(Title of the indenture securities)</w:t>
            </w:r>
          </w:p>
        </w:tc>
        <w:tc>
          <w:tcPr>
            <w:tcW w:w="33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30" w:lineRule="exact"/>
        <w:rPr>
          <w:rFonts w:ascii="Arial" w:cs="Arial" w:eastAsia="Arial" w:hAnsi="Arial"/>
          <w:sz w:val="18"/>
          <w:szCs w:val="18"/>
          <w:b w:val="1"/>
          <w:bCs w:val="1"/>
          <w:color w:val="auto"/>
        </w:rPr>
      </w:pPr>
    </w:p>
    <w:p>
      <w:pPr>
        <w:ind w:left="452" w:right="5480"/>
        <w:spacing w:after="0" w:line="42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89" w:lineRule="exact"/>
        <w:rPr>
          <w:sz w:val="20"/>
          <w:szCs w:val="20"/>
          <w:color w:val="auto"/>
        </w:rPr>
      </w:pPr>
    </w:p>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8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91" w:name="page92"/>
    <w:bookmarkEnd w:id="91"/>
    <w:p>
      <w:pPr>
        <w:ind w:left="446" w:hanging="446"/>
        <w:spacing w:after="0"/>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8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 COMPANY, N.A.</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74" w:right="2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4" w:name="page95"/>
    <w:bookmarkEnd w:id="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ind w:left="480"/>
        <w:spacing w:after="0"/>
        <w:tabs>
          <w:tab w:leader="none" w:pos="3080" w:val="left"/>
          <w:tab w:leader="none" w:pos="376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440"/>
            <w:col w:w="60" w:space="620"/>
            <w:col w:w="752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7"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88"/>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810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if not a U.S. national bank)</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400 South Hope Street Suite 500</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Los Angeles, California</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39"/>
              <w:spacing w:after="0"/>
              <w:rPr>
                <w:sz w:val="20"/>
                <w:szCs w:val="20"/>
                <w:color w:val="auto"/>
              </w:rPr>
            </w:pPr>
            <w:r>
              <w:rPr>
                <w:rFonts w:ascii="Arial" w:cs="Arial" w:eastAsia="Arial" w:hAnsi="Arial"/>
                <w:sz w:val="18"/>
                <w:szCs w:val="18"/>
                <w:b w:val="1"/>
                <w:bCs w:val="1"/>
                <w:color w:val="auto"/>
                <w:w w:val="99"/>
              </w:rPr>
              <w:t>REINSURANCE GROUP OF AMERICA, INCORPORATED</w:t>
            </w:r>
          </w:p>
        </w:tc>
        <w:tc>
          <w:tcPr>
            <w:tcW w:w="3320" w:type="dxa"/>
            <w:vAlign w:val="bottom"/>
          </w:tcPr>
          <w:p>
            <w:pPr>
              <w:spacing w:after="0"/>
              <w:rPr>
                <w:sz w:val="24"/>
                <w:szCs w:val="24"/>
                <w:color w:val="auto"/>
              </w:rPr>
            </w:pPr>
          </w:p>
        </w:tc>
      </w:tr>
      <w:tr>
        <w:trPr>
          <w:trHeight w:val="186"/>
        </w:trPr>
        <w:tc>
          <w:tcPr>
            <w:tcW w:w="8100" w:type="dxa"/>
            <w:vAlign w:val="bottom"/>
            <w:gridSpan w:val="3"/>
          </w:tcPr>
          <w:p>
            <w:pPr>
              <w:jc w:val="center"/>
              <w:ind w:left="323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3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0"/>
        </w:trPr>
        <w:tc>
          <w:tcPr>
            <w:tcW w:w="810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46-1627032</w:t>
            </w:r>
          </w:p>
        </w:tc>
      </w:tr>
      <w:tr>
        <w:trPr>
          <w:trHeight w:val="149"/>
        </w:trPr>
        <w:tc>
          <w:tcPr>
            <w:tcW w:w="810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1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89"/>
              </w:rPr>
              <w:t>16600 Swingley Ridge Road</w:t>
            </w:r>
          </w:p>
        </w:tc>
        <w:tc>
          <w:tcPr>
            <w:tcW w:w="3320" w:type="dxa"/>
            <w:vAlign w:val="bottom"/>
          </w:tcPr>
          <w:p>
            <w:pPr>
              <w:spacing w:after="0"/>
              <w:rPr>
                <w:sz w:val="24"/>
                <w:szCs w:val="24"/>
                <w:color w:val="auto"/>
              </w:rPr>
            </w:pPr>
          </w:p>
        </w:tc>
      </w:tr>
      <w:tr>
        <w:trPr>
          <w:trHeight w:val="225"/>
        </w:trPr>
        <w:tc>
          <w:tcPr>
            <w:tcW w:w="810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Chesterfield, Missouri</w:t>
            </w:r>
          </w:p>
        </w:tc>
        <w:tc>
          <w:tcPr>
            <w:tcW w:w="33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9"/>
              </w:rPr>
              <w:t>63017-1706</w:t>
            </w:r>
          </w:p>
        </w:tc>
      </w:tr>
      <w:tr>
        <w:trPr>
          <w:trHeight w:val="186"/>
        </w:trPr>
        <w:tc>
          <w:tcPr>
            <w:tcW w:w="810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20" w:type="dxa"/>
            <w:vAlign w:val="bottom"/>
          </w:tcPr>
          <w:p>
            <w:pPr>
              <w:jc w:val="center"/>
              <w:ind w:right="2141"/>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03"/>
        </w:trPr>
        <w:tc>
          <w:tcPr>
            <w:tcW w:w="8100" w:type="dxa"/>
            <w:vAlign w:val="bottom"/>
            <w:gridSpan w:val="3"/>
          </w:tcPr>
          <w:p>
            <w:pPr>
              <w:jc w:val="center"/>
              <w:ind w:left="3259"/>
              <w:spacing w:after="0"/>
              <w:rPr>
                <w:sz w:val="20"/>
                <w:szCs w:val="20"/>
                <w:color w:val="auto"/>
              </w:rPr>
            </w:pPr>
            <w:r>
              <w:rPr>
                <w:rFonts w:ascii="Arial" w:cs="Arial" w:eastAsia="Arial" w:hAnsi="Arial"/>
                <w:sz w:val="18"/>
                <w:szCs w:val="18"/>
                <w:b w:val="1"/>
                <w:bCs w:val="1"/>
                <w:color w:val="auto"/>
                <w:w w:val="92"/>
              </w:rPr>
              <w:t>Guarantee of Preferred Securities of RGA Capital Trust IV</w:t>
            </w:r>
          </w:p>
        </w:tc>
        <w:tc>
          <w:tcPr>
            <w:tcW w:w="332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5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(Title of the indenture securities)</w:t>
            </w:r>
          </w:p>
        </w:tc>
        <w:tc>
          <w:tcPr>
            <w:tcW w:w="33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4" w:lineRule="exact"/>
        <w:rPr>
          <w:rFonts w:ascii="Arial" w:cs="Arial" w:eastAsia="Arial" w:hAnsi="Arial"/>
          <w:sz w:val="18"/>
          <w:szCs w:val="18"/>
          <w:b w:val="1"/>
          <w:bCs w:val="1"/>
          <w:color w:val="auto"/>
        </w:rPr>
      </w:pPr>
    </w:p>
    <w:p>
      <w:pPr>
        <w:ind w:left="892" w:hanging="446"/>
        <w:spacing w:after="0"/>
        <w:tabs>
          <w:tab w:leader="none" w:pos="8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48"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30" w:lineRule="exact"/>
        <w:rPr>
          <w:rFonts w:ascii="Arial" w:cs="Arial" w:eastAsia="Arial" w:hAnsi="Arial"/>
          <w:sz w:val="18"/>
          <w:szCs w:val="18"/>
          <w:b w:val="1"/>
          <w:bCs w:val="1"/>
          <w:color w:val="auto"/>
        </w:rPr>
      </w:pPr>
    </w:p>
    <w:p>
      <w:pPr>
        <w:ind w:left="452" w:right="5480"/>
        <w:spacing w:after="0" w:line="42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89" w:lineRule="exact"/>
        <w:rPr>
          <w:sz w:val="20"/>
          <w:szCs w:val="20"/>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91"/>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9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97" w:name="page98"/>
    <w:bookmarkEnd w:id="97"/>
    <w:p>
      <w:pPr>
        <w:ind w:left="446" w:hanging="446"/>
        <w:spacing w:after="0"/>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9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0" w:name="page101"/>
    <w:bookmarkEnd w:id="1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40" w:val="left"/>
          <w:tab w:leader="none" w:pos="298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440"/>
            <w:col w:w="60" w:space="620"/>
            <w:col w:w="752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7" w:right="2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94"/>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tbl>
      <w:tblPr>
        <w:tblLayout w:type="fixed"/>
        <w:tblInd w:w="0" w:type="dxa"/>
        <w:tblCellMar>
          <w:top w:w="0" w:type="dxa"/>
          <w:left w:w="0" w:type="dxa"/>
          <w:bottom w:w="0" w:type="dxa"/>
          <w:right w:w="0" w:type="dxa"/>
        </w:tblCellMar>
      </w:tblPr>
      <w:tr>
        <w:trPr>
          <w:trHeight w:val="234"/>
        </w:trPr>
        <w:tc>
          <w:tcPr>
            <w:tcW w:w="7860" w:type="dxa"/>
            <w:vAlign w:val="bottom"/>
            <w:gridSpan w:val="3"/>
          </w:tcPr>
          <w:p>
            <w:pPr>
              <w:jc w:val="center"/>
              <w:ind w:left="348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vMerge w:val="restart"/>
          </w:tcPr>
          <w:p>
            <w:pPr>
              <w:jc w:val="center"/>
              <w:ind w:right="1841"/>
              <w:spacing w:after="0"/>
              <w:rPr>
                <w:sz w:val="20"/>
                <w:szCs w:val="20"/>
                <w:color w:val="auto"/>
              </w:rPr>
            </w:pPr>
            <w:r>
              <w:rPr>
                <w:rFonts w:ascii="Arial" w:cs="Arial" w:eastAsia="Arial" w:hAnsi="Arial"/>
                <w:sz w:val="18"/>
                <w:szCs w:val="18"/>
                <w:b w:val="1"/>
                <w:bCs w:val="1"/>
                <w:color w:val="auto"/>
                <w:w w:val="91"/>
              </w:rPr>
              <w:t>95-3571558</w:t>
            </w:r>
          </w:p>
        </w:tc>
        <w:tc>
          <w:tcPr>
            <w:tcW w:w="0" w:type="dxa"/>
            <w:vAlign w:val="bottom"/>
          </w:tcPr>
          <w:p>
            <w:pPr>
              <w:spacing w:after="0"/>
              <w:rPr>
                <w:sz w:val="1"/>
                <w:szCs w:val="1"/>
                <w:color w:val="auto"/>
              </w:rPr>
            </w:pPr>
          </w:p>
        </w:tc>
      </w:tr>
      <w:tr>
        <w:trPr>
          <w:trHeight w:val="457"/>
        </w:trPr>
        <w:tc>
          <w:tcPr>
            <w:tcW w:w="4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60" w:type="dxa"/>
            <w:vAlign w:val="bottom"/>
            <w:gridSpan w:val="3"/>
          </w:tcPr>
          <w:p>
            <w:pPr>
              <w:jc w:val="center"/>
              <w:ind w:right="21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4"/>
              </w:rPr>
              <w:t>if not a U.S. national bank)</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412"/>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9"/>
              </w:rPr>
              <w:t>400 South Hope Street Suite 500</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9"/>
              </w:rPr>
              <w:t>Los Angeles, California</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90071</w:t>
            </w:r>
          </w:p>
        </w:tc>
        <w:tc>
          <w:tcPr>
            <w:tcW w:w="0" w:type="dxa"/>
            <w:vAlign w:val="bottom"/>
          </w:tcPr>
          <w:p>
            <w:pPr>
              <w:spacing w:after="0"/>
              <w:rPr>
                <w:sz w:val="1"/>
                <w:szCs w:val="1"/>
                <w:color w:val="auto"/>
              </w:rPr>
            </w:pP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RGA CAPITAL TRUST III</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60" w:type="dxa"/>
            <w:vAlign w:val="bottom"/>
            <w:gridSpan w:val="3"/>
          </w:tcPr>
          <w:p>
            <w:pPr>
              <w:jc w:val="center"/>
              <w:ind w:left="348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7"/>
              </w:rPr>
              <w:t>41-6521118</w:t>
            </w:r>
          </w:p>
        </w:tc>
        <w:tc>
          <w:tcPr>
            <w:tcW w:w="0" w:type="dxa"/>
            <w:vAlign w:val="bottom"/>
          </w:tcPr>
          <w:p>
            <w:pPr>
              <w:spacing w:after="0"/>
              <w:rPr>
                <w:sz w:val="1"/>
                <w:szCs w:val="1"/>
                <w:color w:val="auto"/>
              </w:rPr>
            </w:pP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incorporation or organization)</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412"/>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9"/>
              </w:rPr>
              <w:t>16600 Swingley Ridge Road</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Chesterfield, Missouri</w:t>
            </w:r>
          </w:p>
        </w:tc>
        <w:tc>
          <w:tcPr>
            <w:tcW w:w="35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63017-1706</w:t>
            </w:r>
          </w:p>
        </w:tc>
        <w:tc>
          <w:tcPr>
            <w:tcW w:w="0" w:type="dxa"/>
            <w:vAlign w:val="bottom"/>
          </w:tcPr>
          <w:p>
            <w:pPr>
              <w:spacing w:after="0"/>
              <w:rPr>
                <w:sz w:val="1"/>
                <w:szCs w:val="1"/>
                <w:color w:val="auto"/>
              </w:rPr>
            </w:pPr>
          </w:p>
        </w:tc>
      </w:tr>
      <w:tr>
        <w:trPr>
          <w:trHeight w:val="186"/>
        </w:trPr>
        <w:tc>
          <w:tcPr>
            <w:tcW w:w="786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Preferred Securities</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97"/>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9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103" w:name="page104"/>
    <w:bookmarkEnd w:id="103"/>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indebtednessand obligations under capitalizedleases)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40" w:val="left"/>
          <w:tab w:leader="none" w:pos="298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440"/>
            <w:col w:w="60" w:space="620"/>
            <w:col w:w="752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57"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10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tbl>
      <w:tblPr>
        <w:tblLayout w:type="fixed"/>
        <w:tblInd w:w="0" w:type="dxa"/>
        <w:tblCellMar>
          <w:top w:w="0" w:type="dxa"/>
          <w:left w:w="0" w:type="dxa"/>
          <w:bottom w:w="0" w:type="dxa"/>
          <w:right w:w="0" w:type="dxa"/>
        </w:tblCellMar>
      </w:tblPr>
      <w:tr>
        <w:trPr>
          <w:trHeight w:val="234"/>
        </w:trPr>
        <w:tc>
          <w:tcPr>
            <w:tcW w:w="7840" w:type="dxa"/>
            <w:vAlign w:val="bottom"/>
            <w:gridSpan w:val="3"/>
          </w:tcPr>
          <w:p>
            <w:pPr>
              <w:jc w:val="center"/>
              <w:ind w:left="350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vMerge w:val="restart"/>
          </w:tcPr>
          <w:p>
            <w:pPr>
              <w:jc w:val="center"/>
              <w:ind w:right="1881"/>
              <w:spacing w:after="0"/>
              <w:rPr>
                <w:sz w:val="20"/>
                <w:szCs w:val="20"/>
                <w:color w:val="auto"/>
              </w:rPr>
            </w:pPr>
            <w:r>
              <w:rPr>
                <w:rFonts w:ascii="Arial" w:cs="Arial" w:eastAsia="Arial" w:hAnsi="Arial"/>
                <w:sz w:val="18"/>
                <w:szCs w:val="18"/>
                <w:b w:val="1"/>
                <w:bCs w:val="1"/>
                <w:color w:val="auto"/>
                <w:w w:val="89"/>
              </w:rPr>
              <w:t>95-3571558</w:t>
            </w:r>
          </w:p>
        </w:tc>
        <w:tc>
          <w:tcPr>
            <w:tcW w:w="0" w:type="dxa"/>
            <w:vAlign w:val="bottom"/>
          </w:tcPr>
          <w:p>
            <w:pPr>
              <w:spacing w:after="0"/>
              <w:rPr>
                <w:sz w:val="1"/>
                <w:szCs w:val="1"/>
                <w:color w:val="auto"/>
              </w:rPr>
            </w:pPr>
          </w:p>
        </w:tc>
      </w:tr>
      <w:tr>
        <w:trPr>
          <w:trHeight w:val="457"/>
        </w:trPr>
        <w:tc>
          <w:tcPr>
            <w:tcW w:w="4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4"/>
              </w:rPr>
              <w:t>if not a U.S. national bank)</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9"/>
              </w:rPr>
              <w:t>400 South Hope Street Suite 500</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Los Angeles, California</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90071</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RGA CAPITAL TRUST IV</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left="350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41-6521120</w:t>
            </w: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9"/>
              </w:rPr>
              <w:t>16600 Swingley Ridge Road</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Chesterfield, Missouri</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63017-1706</w:t>
            </w:r>
          </w:p>
        </w:tc>
        <w:tc>
          <w:tcPr>
            <w:tcW w:w="0" w:type="dxa"/>
            <w:vAlign w:val="bottom"/>
          </w:tcPr>
          <w:p>
            <w:pPr>
              <w:spacing w:after="0"/>
              <w:rPr>
                <w:sz w:val="1"/>
                <w:szCs w:val="1"/>
                <w:color w:val="auto"/>
              </w:rPr>
            </w:pP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Preferred Securities</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1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Address</w:t>
            </w:r>
          </w:p>
        </w:tc>
      </w:tr>
      <w:tr>
        <w:trPr>
          <w:trHeight w:val="195"/>
        </w:trPr>
        <w:tc>
          <w:tcPr>
            <w:tcW w:w="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Comptroller of the Currency</w:t>
            </w:r>
          </w:p>
        </w:tc>
        <w:tc>
          <w:tcPr>
            <w:tcW w:w="1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 Department of the Treasury</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Reserve Bank</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San Francisco, CA 94105</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Washington, DC 20429</w:t>
            </w:r>
          </w:p>
        </w:tc>
      </w:tr>
      <w:tr>
        <w:trPr>
          <w:trHeight w:val="45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(b)   Whether it is authorized to exercise corporate trust powers.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line="346"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48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40" w:hanging="446"/>
        <w:spacing w:after="0" w:line="264"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892" w:right="260" w:hanging="446"/>
        <w:spacing w:after="0" w:line="277" w:lineRule="auto"/>
        <w:tabs>
          <w:tab w:leader="none" w:pos="8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10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0" w:right="259" w:bottom="1440" w:gutter="0" w:footer="0" w:header="0"/>
        </w:sectPr>
      </w:pPr>
    </w:p>
    <w:bookmarkStart w:id="109" w:name="page110"/>
    <w:bookmarkEnd w:id="109"/>
    <w:p>
      <w:pPr>
        <w:ind w:left="446" w:hanging="446"/>
        <w:spacing w:after="0"/>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131" w:lineRule="exact"/>
        <w:rPr>
          <w:sz w:val="20"/>
          <w:szCs w:val="20"/>
          <w:color w:val="auto"/>
        </w:rPr>
      </w:pPr>
    </w:p>
    <w:p>
      <w:pPr>
        <w:ind w:left="446" w:hanging="446"/>
        <w:spacing w:after="0"/>
        <w:tabs>
          <w:tab w:leader="none" w:pos="44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consent of the trustee required by Section 321(b) of the Act (Exhibit 6 to Form T-1 filed with Registration Statement No. 333-152875).</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26"/>
          </w:cols>
          <w:pgMar w:left="694" w:top="274" w:right="3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22</w:t>
      </w:r>
      <w:r>
        <w:rPr>
          <w:rFonts w:ascii="Arial" w:cs="Arial" w:eastAsia="Arial" w:hAnsi="Arial"/>
          <w:sz w:val="15"/>
          <w:szCs w:val="15"/>
          <w:color w:val="auto"/>
        </w:rPr>
        <w:t>nd</w:t>
      </w:r>
      <w:r>
        <w:rPr>
          <w:rFonts w:ascii="Arial" w:cs="Arial" w:eastAsia="Arial" w:hAnsi="Arial"/>
          <w:sz w:val="18"/>
          <w:szCs w:val="18"/>
          <w:color w:val="auto"/>
        </w:rPr>
        <w:t xml:space="preserve"> day of May,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 Tarnas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March 31, 2017, published in accordance with Federal regulatory authority instructions.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in 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347,466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60"/>
              <w:spacing w:after="0"/>
              <w:rPr>
                <w:sz w:val="20"/>
                <w:szCs w:val="20"/>
                <w:color w:val="auto"/>
              </w:rPr>
            </w:pPr>
            <w:r>
              <w:rPr>
                <w:rFonts w:ascii="Arial" w:cs="Arial" w:eastAsia="Arial" w:hAnsi="Arial"/>
                <w:sz w:val="18"/>
                <w:szCs w:val="18"/>
                <w:color w:val="auto"/>
              </w:rPr>
              <w:t>856,313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80" w:type="dxa"/>
            <w:vAlign w:val="bottom"/>
            <w:vMerge w:val="restart"/>
          </w:tcPr>
          <w:p>
            <w:pPr>
              <w:jc w:val="right"/>
              <w:ind w:right="463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7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9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1,122,932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Total bank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1,835,316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2340" w:val="left"/>
          <w:tab w:leader="none" w:pos="298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CFO</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08" w:lineRule="exact"/>
        <w:rPr>
          <w:sz w:val="20"/>
          <w:szCs w:val="20"/>
          <w:color w:val="auto"/>
        </w:rPr>
      </w:pPr>
    </w:p>
    <w:p>
      <w:pPr>
        <w:ind w:left="480"/>
        <w:spacing w:after="0" w:line="312" w:lineRule="auto"/>
        <w:rPr>
          <w:sz w:val="20"/>
          <w:szCs w:val="20"/>
          <w:color w:val="auto"/>
        </w:rPr>
      </w:pPr>
      <w:r>
        <w:rPr>
          <w:rFonts w:ascii="Arial" w:cs="Arial" w:eastAsia="Arial" w:hAnsi="Arial"/>
          <w:sz w:val="16"/>
          <w:szCs w:val="16"/>
          <w:color w:val="auto"/>
        </w:rPr>
        <w:t>Antonio I. Portuondo, President William D. Lindelof, Director Alphonse J. Briand, 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2780" w:space="440"/>
            <w:col w:w="60" w:space="620"/>
            <w:col w:w="752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sectPr>
      <w:pgSz w:w="11900" w:h="16838" w:orient="portrait"/>
      <w:cols w:equalWidth="0" w:num="1">
        <w:col w:w="11420"/>
      </w:cols>
      <w:pgMar w:left="240" w:top="2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636"/>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lvl w:ilvl="1">
      <w:lvlJc w:val="left"/>
      <w:lvlText w:val="(%2)"/>
      <w:numFmt w:val="decimal"/>
      <w:start w:val="1"/>
    </w:lvl>
  </w:abstractNum>
  <w:abstractNum w:abstractNumId="11">
    <w:nsid w:val="47398C89"/>
    <w:multiLevelType w:val="hybridMultilevel"/>
    <w:lvl w:ilvl="0">
      <w:lvlJc w:val="left"/>
      <w:lvlText w:val="•"/>
      <w:numFmt w:val="bullet"/>
      <w:start w:val="1"/>
    </w:lvl>
    <w:lvl w:ilvl="1">
      <w:lvlJc w:val="left"/>
      <w:lvlText w:val="(%2)"/>
      <w:numFmt w:val="decimal"/>
      <w:start w:val="2"/>
    </w:lvl>
  </w:abstractNum>
  <w:abstractNum w:abstractNumId="12">
    <w:nsid w:val="354FE9F9"/>
    <w:multiLevelType w:val="hybridMultilevel"/>
    <w:lvl w:ilvl="0">
      <w:lvlJc w:val="left"/>
      <w:lvlText w:val="(%1)"/>
      <w:numFmt w:val="decimal"/>
      <w:start w:val="2"/>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1)"/>
      <w:numFmt w:val="decimal"/>
      <w:start w:val="3"/>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3"/>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lvl w:ilvl="1">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lowerRoman"/>
    </w:lvl>
    <w:lvl w:ilvl="1">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lvl w:ilvl="1">
      <w:lvlJc w:val="left"/>
      <w:lvlText w:val="(%2)"/>
      <w:numFmt w:val="decimal"/>
      <w:start w:val="2"/>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lvl w:ilvl="1">
      <w:lvlJc w:val="left"/>
      <w:lvlText w:val="(%2)"/>
      <w:numFmt w:val="decimal"/>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decimal"/>
      <w:start w:val="1"/>
    </w:lvl>
    <w:lvl w:ilvl="1">
      <w:lvlJc w:val="left"/>
      <w:lvlText w:val="(%2)"/>
      <w:numFmt w:val="lowerRoman"/>
      <w:start w:val="1"/>
    </w:lvl>
  </w:abstractNum>
  <w:abstractNum w:abstractNumId="44">
    <w:nsid w:val="7BD3EE7B"/>
    <w:multiLevelType w:val="hybridMultilevel"/>
    <w:lvl w:ilvl="0">
      <w:lvlJc w:val="left"/>
      <w:lvlText w:val="(%1)"/>
      <w:numFmt w:val="decimal"/>
      <w:start w:val="2"/>
    </w:lvl>
    <w:lvl w:ilvl="1">
      <w:lvlJc w:val="left"/>
      <w:lvlText w:val="(%2)"/>
      <w:numFmt w:val="upperLetter"/>
      <w:start w:val="1"/>
    </w:lvl>
  </w:abstractNum>
  <w:abstractNum w:abstractNumId="45">
    <w:nsid w:val="51D9C564"/>
    <w:multiLevelType w:val="hybridMultilevel"/>
    <w:lvl w:ilvl="0">
      <w:lvlJc w:val="left"/>
      <w:lvlText w:val="(%1)"/>
      <w:numFmt w:val="lowerRoman"/>
      <w:start w:val="1"/>
    </w:lvl>
  </w:abstractNum>
  <w:abstractNum w:abstractNumId="46">
    <w:nsid w:val="613EFDC5"/>
    <w:multiLevelType w:val="hybridMultilevel"/>
    <w:lvl w:ilvl="0">
      <w:lvlJc w:val="left"/>
      <w:lvlText w:val="(%1)"/>
      <w:numFmt w:val="decimal"/>
      <w:start w:val="6"/>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decimal"/>
      <w:start w:val="5"/>
    </w:lvl>
  </w:abstractNum>
  <w:abstractNum w:abstractNumId="50">
    <w:nsid w:val="A0382C5"/>
    <w:multiLevelType w:val="hybridMultilevel"/>
    <w:lvl w:ilvl="0">
      <w:lvlJc w:val="left"/>
      <w:lvlText w:val="%1"/>
      <w:numFmt w:val="decimal"/>
      <w:start w:val="1"/>
    </w:lvl>
    <w:lvl w:ilvl="1">
      <w:lvlJc w:val="left"/>
      <w:lvlText w:val="(%2)"/>
      <w:numFmt w:val="lowerRoman"/>
      <w:start w:val="7"/>
    </w:lvl>
  </w:abstractNum>
  <w:abstractNum w:abstractNumId="51">
    <w:nsid w:val="8F2B15E"/>
    <w:multiLevelType w:val="hybridMultilevel"/>
    <w:lvl w:ilvl="0">
      <w:lvlJc w:val="left"/>
      <w:lvlText w:val="%1."/>
      <w:numFmt w:val="decimal"/>
      <w:start w:val="8"/>
    </w:lvl>
    <w:lvl w:ilvl="1">
      <w:lvlJc w:val="left"/>
      <w:lvlText w:val="%2"/>
      <w:numFmt w:val="lowerRoman"/>
      <w:start w:val="1"/>
    </w:lvl>
  </w:abstractNum>
  <w:abstractNum w:abstractNumId="52">
    <w:nsid w:val="1A32234B"/>
    <w:multiLevelType w:val="hybridMultilevel"/>
    <w:lvl w:ilvl="0">
      <w:lvlJc w:val="left"/>
      <w:lvlText w:val="(%1)"/>
      <w:numFmt w:val="lowerLetter"/>
      <w:start w:val="1"/>
    </w:lvl>
  </w:abstractNum>
  <w:abstractNum w:abstractNumId="53">
    <w:nsid w:val="3B0FD379"/>
    <w:multiLevelType w:val="hybridMultilevel"/>
    <w:lvl w:ilvl="0">
      <w:lvlJc w:val="left"/>
      <w:lvlText w:val="(%1)"/>
      <w:numFmt w:val="lowerLetter"/>
      <w:start w:val="3"/>
    </w:lvl>
  </w:abstractNum>
  <w:abstractNum w:abstractNumId="54">
    <w:nsid w:val="68EB2F63"/>
    <w:multiLevelType w:val="hybridMultilevel"/>
    <w:lvl w:ilvl="0">
      <w:lvlJc w:val="left"/>
      <w:lvlText w:val="(%1)"/>
      <w:numFmt w:val="lowerRoman"/>
      <w:start w:val="4"/>
    </w:lvl>
  </w:abstractNum>
  <w:abstractNum w:abstractNumId="55">
    <w:nsid w:val="4962813B"/>
    <w:multiLevelType w:val="hybridMultilevel"/>
    <w:lvl w:ilvl="0">
      <w:lvlJc w:val="left"/>
      <w:lvlText w:val="(%1)"/>
      <w:numFmt w:val="decimal"/>
      <w:start w:val="2"/>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1"/>
      <w:numFmt w:val="lowerLetter"/>
      <w:start w:val="1"/>
    </w:lvl>
    <w:lvl w:ilvl="1">
      <w:lvlJc w:val="left"/>
      <w:lvlText w:val="%2."/>
      <w:numFmt w:val="decimal"/>
      <w:start w:val="5"/>
    </w:lvl>
  </w:abstractNum>
  <w:abstractNum w:abstractNumId="58">
    <w:nsid w:val="14330624"/>
    <w:multiLevelType w:val="hybridMultilevel"/>
    <w:lvl w:ilvl="0">
      <w:lvlJc w:val="left"/>
      <w:lvlText w:val="(%1)"/>
      <w:numFmt w:val="lowerLetter"/>
      <w:start w:val="3"/>
    </w:lvl>
    <w:lvl w:ilvl="1">
      <w:lvlJc w:val="left"/>
      <w:lvlText w:val="%2."/>
      <w:numFmt w:val="decimal"/>
      <w:start w:val="6"/>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Roman"/>
      <w:start w:val="1"/>
    </w:lvl>
    <w:lvl w:ilvl="1">
      <w:lvlJc w:val="left"/>
      <w:lvlText w:val="(%2)"/>
      <w:numFmt w:val="lowerLetter"/>
      <w:start w:val="2"/>
    </w:lvl>
  </w:abstractNum>
  <w:abstractNum w:abstractNumId="61">
    <w:nsid w:val="71EA1109"/>
    <w:multiLevelType w:val="hybridMultilevel"/>
    <w:lvl w:ilvl="0">
      <w:lvlJc w:val="left"/>
      <w:lvlText w:val="(%1)"/>
      <w:numFmt w:val="lowerRoman"/>
      <w:start w:val="3"/>
    </w:lvl>
    <w:lvl w:ilvl="1">
      <w:lvlJc w:val="left"/>
      <w:lvlText w:val="%2"/>
      <w:numFmt w:val="lowerLetter"/>
      <w:start w:val="1"/>
    </w:lvl>
  </w:abstractNum>
  <w:abstractNum w:abstractNumId="62">
    <w:nsid w:val="100F59DC"/>
    <w:multiLevelType w:val="hybridMultilevel"/>
    <w:lvl w:ilvl="0">
      <w:lvlJc w:val="left"/>
      <w:lvlText w:val="(%1)"/>
      <w:numFmt w:val="lowerRoman"/>
      <w:start w:val="6"/>
    </w:lvl>
    <w:lvl w:ilvl="1">
      <w:lvlJc w:val="left"/>
      <w:lvlText w:val="(%2)"/>
      <w:numFmt w:val="lowerLetter"/>
      <w:start w:val="4"/>
    </w:lvl>
  </w:abstractNum>
  <w:abstractNum w:abstractNumId="63">
    <w:nsid w:val="7FB7E0AA"/>
    <w:multiLevelType w:val="hybridMultilevel"/>
    <w:lvl w:ilvl="0">
      <w:lvlJc w:val="left"/>
      <w:lvlText w:val="(%1)"/>
      <w:numFmt w:val="lowerLetter"/>
      <w:start w:val="5"/>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6"/>
    </w:lvl>
  </w:abstractNum>
  <w:abstractNum w:abstractNumId="66">
    <w:nsid w:val="94211F2"/>
    <w:multiLevelType w:val="hybridMultilevel"/>
    <w:lvl w:ilvl="0">
      <w:lvlJc w:val="left"/>
      <w:lvlText w:val="(%1)"/>
      <w:numFmt w:val="lowerRoman"/>
      <w:start w:val="4"/>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1"/>
    </w:lvl>
    <w:lvl w:ilvl="1">
      <w:lvlJc w:val="left"/>
      <w:lvlText w:val="(%2)"/>
      <w:numFmt w:val="lowerLetter"/>
      <w:start w:val="1"/>
    </w:lvl>
  </w:abstractNum>
  <w:abstractNum w:abstractNumId="71">
    <w:nsid w:val="14E17E33"/>
    <w:multiLevelType w:val="hybridMultilevel"/>
    <w:lvl w:ilvl="0">
      <w:lvlJc w:val="left"/>
      <w:lvlText w:val="%1."/>
      <w:numFmt w:val="decimal"/>
      <w:start w:val="2"/>
    </w:lvl>
  </w:abstractNum>
  <w:abstractNum w:abstractNumId="72">
    <w:nsid w:val="3222E7CD"/>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73">
    <w:nsid w:val="74DE0EE3"/>
    <w:multiLevelType w:val="hybridMultilevel"/>
    <w:lvl w:ilvl="0">
      <w:lvlJc w:val="left"/>
      <w:lvlText w:val="%1."/>
      <w:numFmt w:val="decimal"/>
      <w:start w:val="4"/>
    </w:lvl>
  </w:abstractNum>
  <w:abstractNum w:abstractNumId="74">
    <w:nsid w:val="68EBC550"/>
    <w:multiLevelType w:val="hybridMultilevel"/>
    <w:lvl w:ilvl="0">
      <w:lvlJc w:val="left"/>
      <w:lvlText w:val="%1."/>
      <w:numFmt w:val="decimal"/>
      <w:start w:val="6"/>
    </w:lvl>
    <w:lvl w:ilvl="1">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decimal"/>
      <w:start w:val="1"/>
    </w:lvl>
    <w:lvl w:ilvl="1">
      <w:lvlJc w:val="left"/>
      <w:lvlText w:val="(%2)"/>
      <w:numFmt w:val="lowerLetter"/>
      <w:start w:val="1"/>
    </w:lvl>
  </w:abstractNum>
  <w:abstractNum w:abstractNumId="77">
    <w:nsid w:val="4A2AC315"/>
    <w:multiLevelType w:val="hybridMultilevel"/>
    <w:lvl w:ilvl="0">
      <w:lvlJc w:val="left"/>
      <w:lvlText w:val="%1."/>
      <w:numFmt w:val="decimal"/>
      <w:start w:val="2"/>
    </w:lvl>
  </w:abstractNum>
  <w:abstractNum w:abstractNumId="78">
    <w:nsid w:val="39EE015C"/>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79">
    <w:nsid w:val="57FC4FBB"/>
    <w:multiLevelType w:val="hybridMultilevel"/>
    <w:lvl w:ilvl="0">
      <w:lvlJc w:val="left"/>
      <w:lvlText w:val="%1."/>
      <w:numFmt w:val="decimal"/>
      <w:start w:val="4"/>
    </w:lvl>
  </w:abstractNum>
  <w:abstractNum w:abstractNumId="80">
    <w:nsid w:val="CC1016F"/>
    <w:multiLevelType w:val="hybridMultilevel"/>
    <w:lvl w:ilvl="0">
      <w:lvlJc w:val="left"/>
      <w:lvlText w:val="%1."/>
      <w:numFmt w:val="decimal"/>
      <w:start w:val="6"/>
    </w:lvl>
    <w:lvl w:ilvl="1">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1."/>
      <w:numFmt w:val="decimal"/>
      <w:start w:val="1"/>
    </w:lvl>
    <w:lvl w:ilvl="1">
      <w:lvlJc w:val="left"/>
      <w:lvlText w:val="(%2)"/>
      <w:numFmt w:val="lowerLetter"/>
      <w:start w:val="1"/>
    </w:lvl>
  </w:abstractNum>
  <w:abstractNum w:abstractNumId="83">
    <w:nsid w:val="26F324BA"/>
    <w:multiLevelType w:val="hybridMultilevel"/>
    <w:lvl w:ilvl="0">
      <w:lvlJc w:val="left"/>
      <w:lvlText w:val="%1."/>
      <w:numFmt w:val="decimal"/>
      <w:start w:val="2"/>
    </w:lvl>
  </w:abstractNum>
  <w:abstractNum w:abstractNumId="84">
    <w:nsid w:val="7F01579B"/>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85">
    <w:nsid w:val="49DA307D"/>
    <w:multiLevelType w:val="hybridMultilevel"/>
    <w:lvl w:ilvl="0">
      <w:lvlJc w:val="left"/>
      <w:lvlText w:val="%1."/>
      <w:numFmt w:val="decimal"/>
      <w:start w:val="4"/>
    </w:lvl>
  </w:abstractNum>
  <w:abstractNum w:abstractNumId="86">
    <w:nsid w:val="7055A5F5"/>
    <w:multiLevelType w:val="hybridMultilevel"/>
    <w:lvl w:ilvl="0">
      <w:lvlJc w:val="left"/>
      <w:lvlText w:val="%1."/>
      <w:numFmt w:val="decimal"/>
      <w:start w:val="6"/>
    </w:lvl>
    <w:lvl w:ilvl="1">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decimal"/>
      <w:start w:val="1"/>
    </w:lvl>
    <w:lvl w:ilvl="1">
      <w:lvlJc w:val="left"/>
      <w:lvlText w:val="(%2)"/>
      <w:numFmt w:val="lowerLetter"/>
      <w:start w:val="1"/>
    </w:lvl>
  </w:abstractNum>
  <w:abstractNum w:abstractNumId="89">
    <w:nsid w:val="488AC1A"/>
    <w:multiLevelType w:val="hybridMultilevel"/>
    <w:lvl w:ilvl="0">
      <w:lvlJc w:val="left"/>
      <w:lvlText w:val="%1."/>
      <w:numFmt w:val="decimal"/>
      <w:start w:val="2"/>
    </w:lvl>
  </w:abstractNum>
  <w:abstractNum w:abstractNumId="90">
    <w:nsid w:val="5FB8011C"/>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91">
    <w:nsid w:val="6AA78F7F"/>
    <w:multiLevelType w:val="hybridMultilevel"/>
    <w:lvl w:ilvl="0">
      <w:lvlJc w:val="left"/>
      <w:lvlText w:val="%1."/>
      <w:numFmt w:val="decimal"/>
      <w:start w:val="4"/>
    </w:lvl>
  </w:abstractNum>
  <w:abstractNum w:abstractNumId="92">
    <w:nsid w:val="7672BD23"/>
    <w:multiLevelType w:val="hybridMultilevel"/>
    <w:lvl w:ilvl="0">
      <w:lvlJc w:val="left"/>
      <w:lvlText w:val="%1."/>
      <w:numFmt w:val="decimal"/>
      <w:start w:val="6"/>
    </w:lvl>
    <w:lvl w:ilvl="1">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1."/>
      <w:numFmt w:val="decimal"/>
      <w:start w:val="1"/>
    </w:lvl>
    <w:lvl w:ilvl="1">
      <w:lvlJc w:val="left"/>
      <w:lvlText w:val="(%2)"/>
      <w:numFmt w:val="lowerLetter"/>
      <w:start w:val="1"/>
    </w:lvl>
  </w:abstractNum>
  <w:abstractNum w:abstractNumId="95">
    <w:nsid w:val="7D5E18F8"/>
    <w:multiLevelType w:val="hybridMultilevel"/>
    <w:lvl w:ilvl="0">
      <w:lvlJc w:val="left"/>
      <w:lvlText w:val="%1."/>
      <w:numFmt w:val="decimal"/>
      <w:start w:val="2"/>
    </w:lvl>
  </w:abstractNum>
  <w:abstractNum w:abstractNumId="96">
    <w:nsid w:val="5F3534A4"/>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97">
    <w:nsid w:val="73A1821B"/>
    <w:multiLevelType w:val="hybridMultilevel"/>
    <w:lvl w:ilvl="0">
      <w:lvlJc w:val="left"/>
      <w:lvlText w:val="%1."/>
      <w:numFmt w:val="decimal"/>
      <w:start w:val="4"/>
    </w:lvl>
  </w:abstractNum>
  <w:abstractNum w:abstractNumId="98">
    <w:nsid w:val="7DE67713"/>
    <w:multiLevelType w:val="hybridMultilevel"/>
    <w:lvl w:ilvl="0">
      <w:lvlJc w:val="left"/>
      <w:lvlText w:val="%1."/>
      <w:numFmt w:val="decimal"/>
      <w:start w:val="6"/>
    </w:lvl>
    <w:lvl w:ilvl="1">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1."/>
      <w:numFmt w:val="decimal"/>
      <w:start w:val="1"/>
    </w:lvl>
    <w:lvl w:ilvl="1">
      <w:lvlJc w:val="left"/>
      <w:lvlText w:val="(%2)"/>
      <w:numFmt w:val="lowerLetter"/>
      <w:start w:val="1"/>
    </w:lvl>
  </w:abstractNum>
  <w:abstractNum w:abstractNumId="101">
    <w:nsid w:val="14FCE74E"/>
    <w:multiLevelType w:val="hybridMultilevel"/>
    <w:lvl w:ilvl="0">
      <w:lvlJc w:val="left"/>
      <w:lvlText w:val="%1."/>
      <w:numFmt w:val="decimal"/>
      <w:start w:val="2"/>
    </w:lvl>
  </w:abstractNum>
  <w:abstractNum w:abstractNumId="102">
    <w:nsid w:val="6A3DD3E8"/>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03">
    <w:nsid w:val="71C91298"/>
    <w:multiLevelType w:val="hybridMultilevel"/>
    <w:lvl w:ilvl="0">
      <w:lvlJc w:val="left"/>
      <w:lvlText w:val="%1."/>
      <w:numFmt w:val="decimal"/>
      <w:start w:val="4"/>
    </w:lvl>
  </w:abstractNum>
  <w:abstractNum w:abstractNumId="104">
    <w:nsid w:val="9DAF632"/>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2019-12-20T23:42:12Z</dcterms:created>
  <dcterms:modified xsi:type="dcterms:W3CDTF">2019-12-20T23:42:12Z</dcterms:modified>
</cp:coreProperties>
</file>