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8862d8k.htm"/>
      <w:bookmarkStart w:id="1" w:name="ksd10886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June 26,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REINSURANCE GROUP OF AMERICA, INCORPORATED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Missouri</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1-11848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43-1627032</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16600 Swingley Ridge Road, Chesterfield, Missouri 63017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and Zip Code)</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(636) 736-7000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 below):</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9390" w:type="dxa"/>
        <w:jc w:val="left"/>
        <w:tblInd w:w="0" w:type="dxa"/>
        <w:tblLayout w:type="fixed"/>
        <w:tblCellMar>
          <w:top w:w="0" w:type="dxa"/>
          <w:left w:w="0" w:type="dxa"/>
          <w:bottom w:w="0" w:type="dxa"/>
          <w:right w:w="0" w:type="dxa"/>
        </w:tblCellMar>
      </w:tblPr>
      <w:tblGrid>
        <w:gridCol w:w="5870"/>
        <w:gridCol w:w="60"/>
        <w:gridCol w:w="740"/>
        <w:gridCol w:w="60"/>
        <w:gridCol w:w="2660"/>
      </w:tblGrid>
      <w:tr>
        <w:trPr/>
        <w:tc>
          <w:tcPr>
            <w:tcW w:w="5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58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870" w:type="dxa"/>
            <w:tcBorders/>
            <w:vAlign w:val="center"/>
          </w:tcPr>
          <w:p>
            <w:pPr>
              <w:pStyle w:val="TableContents"/>
              <w:bidi w:val="0"/>
              <w:spacing w:before="0" w:after="283"/>
              <w:jc w:val="center"/>
              <w:rPr/>
            </w:pPr>
            <w:r>
              <w:rPr/>
              <w:t>Common Stock, par value $0.01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RGA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5870" w:type="dxa"/>
            <w:tcBorders/>
            <w:vAlign w:val="center"/>
          </w:tcPr>
          <w:p>
            <w:pPr>
              <w:pStyle w:val="TableContents"/>
              <w:bidi w:val="0"/>
              <w:spacing w:before="0" w:after="283"/>
              <w:jc w:val="center"/>
              <w:rPr/>
            </w:pPr>
            <w:r>
              <w:rPr/>
              <w:t>7.125% Fixed-Rate Reset Subordinated Debentures due 2052</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RZC</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160" w:after="0"/>
        <w:jc w:val="left"/>
        <w:rPr/>
      </w:pPr>
      <w:r>
        <w:rPr/>
        <w:t>☐ </w:t>
      </w:r>
      <w:r>
        <w:rPr>
          <w:rFonts w:ascii="Times New Roman" w:hAnsi="Times New Roman"/>
          <w:sz w:val="20"/>
        </w:rPr>
        <w:t>Emerging growth company</w:t>
      </w:r>
    </w:p>
    <w:p>
      <w:pPr>
        <w:pStyle w:val="TextBody"/>
        <w:bidi w:val="0"/>
        <w:spacing w:before="160" w:after="0"/>
        <w:jc w:val="left"/>
        <w:rPr/>
      </w:pPr>
      <w:r>
        <w:rPr/>
        <w:t>☐ </w:t>
      </w: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26, 2026, the Board of Directors (the “Board”) of Reinsurance Group of America, Incorporated (the “Company”) appointed Maurice Tulloch to the Board, effective July 1, 2026, for a term of office ending at the 2027 annual meeting of shareholders, or until his successor is duly elected and qualified. The addition of Mr. Tulloch increases the size of the Board to thirteen directors. The Board has determined that Mr. Tulloch is an independent director under the listing standards of the New York Stock Exchange and the Company’s Corporate Governance Guidelines. </w:t>
      </w:r>
    </w:p>
    <w:p>
      <w:pPr>
        <w:pStyle w:val="TextBody"/>
        <w:bidi w:val="0"/>
        <w:spacing w:before="240" w:after="0"/>
        <w:jc w:val="left"/>
        <w:rPr>
          <w:rFonts w:ascii="Times New Roman" w:hAnsi="Times New Roman"/>
          <w:sz w:val="20"/>
        </w:rPr>
      </w:pPr>
      <w:r>
        <w:rPr>
          <w:rFonts w:ascii="Times New Roman" w:hAnsi="Times New Roman"/>
          <w:sz w:val="20"/>
        </w:rPr>
        <w:t xml:space="preserve">Mr. Tulloch, 57, is the former Group CEO of Aviva (formerly Pilot Insurance Company). During his time with Aviva, his roles included President and CEO of Aviva Canada, Chairman and of Global General Insurance, and CEO, International – responsible for operations across Europe and Asia. Earlier in his career, Mr. Tulloch was Chair of the Insurance Bureau of Canada and a director at both the Property &amp; Casualty Insurance Compensation Corporation and the Insurance Institute of Canada. Since leaving Aviva in 2020, Mr. Tulloch has served on the boards of PSP Investments and Porch Group.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not aware of any transactions, proposed transactions, or series of either to which the Company or any of its subsidiaries was or is to be a participant since December 31, 2022, in which the amount involved exceeds $120,000 and in which Mr. Tulloch had, or will have, a direct or indirect material interest.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Mr. Tulloch and any other person pursuant to which he was appointed as a director. Mr. Tulloch will participate in the non-employee director compensation arrangements established by the Company for non-employee directors, as described under “Board of Directors – Director Compensation” in the Company’s proxy statement dated April 9, 2026 for its 2026 annual meeting of shareholders. Mr. Tulloch will receive a prorated portion of his 2026 annual retainer of $125,000 and annual stock grant of $165,000, which will be prorated and adjusted from the commencement of his time of service on the Board to the date of the first anniversary of the Company’s 2026 annual meeting of shareholders. Mr. Tulloch has not yet been named to any committees of the Board.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issued a press release (the “Press Release”) announcing the appointment of Mr. Tulloch to the Board, a copy of which is furnished with this report as Exhibit 99. The information set forth in this Item 7.01, including the Press Release, is being furnished and shall not be deemed to be “filed,” as described in Instruction B.2 of Form 8-K.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The following documents are filed as exhibits to this report: </w:t>
      </w:r>
    </w:p>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395"/>
        <w:gridCol w:w="120"/>
        <w:gridCol w:w="7790"/>
      </w:tblGrid>
      <w:tr>
        <w:trPr/>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90"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99</w:t>
            </w:r>
          </w:p>
        </w:tc>
        <w:tc>
          <w:tcPr>
            <w:tcW w:w="12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283"/>
              <w:jc w:val="left"/>
              <w:rPr/>
            </w:pPr>
            <w:hyperlink w:anchor="d108862dex99.htm">
              <w:r>
                <w:rPr>
                  <w:rStyle w:val="InternetLink"/>
                </w:rPr>
                <w:t xml:space="preserve">Press Release of Reinsurance Group of America, Incorporated dated July 1, 2026 </w:t>
              </w:r>
            </w:hyperlink>
          </w:p>
        </w:tc>
      </w:tr>
      <w:tr>
        <w:trPr/>
        <w:tc>
          <w:tcPr>
            <w:tcW w:w="395" w:type="dxa"/>
            <w:tcBorders/>
            <w:vAlign w:val="center"/>
          </w:tcPr>
          <w:p>
            <w:pPr>
              <w:pStyle w:val="TableContents"/>
              <w:bidi w:val="0"/>
              <w:spacing w:before="0" w:after="283"/>
              <w:jc w:val="left"/>
              <w:rPr>
                <w:sz w:val="4"/>
                <w:szCs w:val="4"/>
              </w:rPr>
            </w:pPr>
            <w:r>
              <w:rPr>
                <w:sz w:val="4"/>
                <w:szCs w:val="4"/>
              </w:rPr>
            </w:r>
          </w:p>
        </w:tc>
        <w:tc>
          <w:tcPr>
            <w:tcW w:w="7910"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283"/>
              <w:jc w:val="left"/>
              <w:rPr/>
            </w:pPr>
            <w:r>
              <w:rPr/>
              <w:t>Cover Page Interactive Data File (formatted as Inline XBRL) to the exhibit index</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933" w:type="dxa"/>
        <w:jc w:val="left"/>
        <w:tblInd w:w="0" w:type="dxa"/>
        <w:tblLayout w:type="fixed"/>
        <w:tblCellMar>
          <w:top w:w="0" w:type="dxa"/>
          <w:left w:w="0" w:type="dxa"/>
          <w:bottom w:w="0" w:type="dxa"/>
          <w:right w:w="0" w:type="dxa"/>
        </w:tblCellMar>
      </w:tblPr>
      <w:tblGrid>
        <w:gridCol w:w="1775"/>
        <w:gridCol w:w="60"/>
        <w:gridCol w:w="23"/>
        <w:gridCol w:w="60"/>
        <w:gridCol w:w="365"/>
        <w:gridCol w:w="60"/>
        <w:gridCol w:w="6590"/>
      </w:tblGrid>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90"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15" w:type="dxa"/>
            <w:gridSpan w:val="3"/>
            <w:tcBorders/>
            <w:vAlign w:val="center"/>
          </w:tcPr>
          <w:p>
            <w:pPr>
              <w:pStyle w:val="TableContents"/>
              <w:bidi w:val="0"/>
              <w:spacing w:before="0" w:after="283"/>
              <w:jc w:val="left"/>
              <w:rPr>
                <w:b/>
              </w:rPr>
            </w:pPr>
            <w:r>
              <w:rPr>
                <w:b/>
              </w:rPr>
              <w:t>REINSURANCE GROUP OF AMERICA, INCORPORATED</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650"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Date: July 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My Chi To</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My Chi To</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Executive Vice President, Chief Legal Officer &amp; Corporate Secretary</w:t>
            </w:r>
          </w:p>
        </w:tc>
      </w:tr>
    </w:tbl>
    <w:p>
      <w:pPr>
        <w:pStyle w:val="TextBody"/>
        <w:bidi w:val="0"/>
        <w:spacing w:before="0" w:after="0"/>
        <w:jc w:val="right"/>
        <w:rPr>
          <w:rFonts w:ascii="Times New Roman" w:hAnsi="Times New Roman"/>
          <w:b/>
          <w:sz w:val="20"/>
        </w:rPr>
      </w:pPr>
      <w:bookmarkStart w:id="2" w:name="d108862dex99.htm"/>
      <w:bookmarkStart w:id="3" w:name="ksd108862dex99"/>
      <w:bookmarkEnd w:id="2"/>
      <w:bookmarkEnd w:id="3"/>
      <w:r>
        <w:rPr>
          <w:rFonts w:ascii="Times New Roman" w:hAnsi="Times New Roman"/>
          <w:b/>
          <w:sz w:val="20"/>
        </w:rPr>
        <w:t xml:space="preserve">Exhibit 99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009650"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9650" cy="10096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Reinsurance Group of America Names New Member to Board of Directors </w:t>
      </w:r>
    </w:p>
    <w:p>
      <w:pPr>
        <w:pStyle w:val="TextBody"/>
        <w:bidi w:val="0"/>
        <w:spacing w:before="240" w:after="0"/>
        <w:jc w:val="left"/>
        <w:rPr>
          <w:rFonts w:ascii="Times New Roman" w:hAnsi="Times New Roman"/>
          <w:sz w:val="20"/>
        </w:rPr>
      </w:pPr>
      <w:r>
        <w:rPr>
          <w:rFonts w:ascii="Times New Roman" w:hAnsi="Times New Roman"/>
          <w:b/>
          <w:sz w:val="20"/>
        </w:rPr>
        <w:t>ST. LOUIS, July</w:t>
      </w:r>
      <w:r>
        <w:rPr>
          <w:rFonts w:ascii="Times New Roman" w:hAnsi="Times New Roman"/>
          <w:sz w:val="20"/>
        </w:rPr>
        <w:t> </w:t>
      </w:r>
      <w:r>
        <w:rPr>
          <w:rFonts w:ascii="Times New Roman" w:hAnsi="Times New Roman"/>
          <w:b/>
          <w:sz w:val="20"/>
        </w:rPr>
        <w:t>1, 2026 -</w:t>
      </w:r>
      <w:r>
        <w:rPr>
          <w:rFonts w:ascii="Times New Roman" w:hAnsi="Times New Roman"/>
          <w:sz w:val="20"/>
        </w:rPr>
        <w:t xml:space="preserve"> </w:t>
      </w:r>
      <w:r>
        <w:rPr>
          <w:rFonts w:ascii="Times New Roman" w:hAnsi="Times New Roman"/>
          <w:sz w:val="20"/>
          <w:u w:val="single"/>
        </w:rPr>
        <w:t>Reinsurance Group of America, Incorporated</w:t>
      </w:r>
      <w:r>
        <w:rPr>
          <w:rFonts w:ascii="Times New Roman" w:hAnsi="Times New Roman"/>
          <w:sz w:val="20"/>
        </w:rPr>
        <w:t xml:space="preserve"> (NYSE: RGA), a leading global life and health reinsurer, announced today that Maurice Tulloch has been appointed to the company’s Board of Directors, effective July 1, 2026. </w:t>
      </w:r>
    </w:p>
    <w:p>
      <w:pPr>
        <w:pStyle w:val="TextBody"/>
        <w:bidi w:val="0"/>
        <w:spacing w:before="240" w:after="0"/>
        <w:jc w:val="left"/>
        <w:rPr/>
      </w:pPr>
      <w:r>
        <w:rPr/>
        <w:t>“</w:t>
      </w:r>
      <w:r>
        <w:rPr>
          <w:rFonts w:ascii="Times New Roman" w:hAnsi="Times New Roman"/>
          <w:sz w:val="20"/>
        </w:rPr>
        <w:t xml:space="preserve">Maurice brings a forward-looking view of the insurance industry, paired with broad, hands-on experience leading global businesses,” said Tony Cheng, President and Chief Executive Officer, RGA. “His combination of operational expertise and global insight, and his commitment to making insurance simpler and more responsive for customers will be valuable as RGA continues helping clients navigate change and deliver meaningful protection.” </w:t>
      </w:r>
    </w:p>
    <w:p>
      <w:pPr>
        <w:pStyle w:val="TextBody"/>
        <w:bidi w:val="0"/>
        <w:spacing w:before="240" w:after="0"/>
        <w:jc w:val="left"/>
        <w:rPr/>
      </w:pPr>
      <w:r>
        <w:rPr/>
        <w:t>“</w:t>
      </w:r>
      <w:r>
        <w:rPr>
          <w:rFonts w:ascii="Times New Roman" w:hAnsi="Times New Roman"/>
          <w:sz w:val="20"/>
        </w:rPr>
        <w:t xml:space="preserve">Maurice’s experience spans senior executive leadership, international insurance operations, and service on public and private boards,” said Stephen O’Hearn, Chair of the Board of Directors, RGA. “His perspective on governance, capital stewardship, and leading through complexity will further strengthen the Board as it continues to oversee RGA’s long-term strategy.” </w:t>
      </w:r>
    </w:p>
    <w:p>
      <w:pPr>
        <w:pStyle w:val="TextBody"/>
        <w:bidi w:val="0"/>
        <w:spacing w:before="240" w:after="0"/>
        <w:jc w:val="left"/>
        <w:rPr>
          <w:rFonts w:ascii="Times New Roman" w:hAnsi="Times New Roman"/>
          <w:sz w:val="20"/>
        </w:rPr>
      </w:pPr>
      <w:r>
        <w:rPr>
          <w:rFonts w:ascii="Times New Roman" w:hAnsi="Times New Roman"/>
          <w:sz w:val="20"/>
        </w:rPr>
        <w:t xml:space="preserve">Mr. Tulloch is the former Chief Executive Officer of Aviva Group, where he led efforts to simplify the organization, strengthen commercial discipline, and improve customer outcomes. During a career at Aviva spanning more than 25 years, he held a range of senior leadership roles across geographies and business lines, including President and Chief Executive Officer of Aviva Canada, Chairman of Global General Insurance, and Chief Executive Officer, International, with responsibility for operations across Europe and Asia.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Throughout his career, Mr. Tulloch has been recognized for his operational expertise, international perspective, and early advocacy for using data analytics and artificial intelligence to enhance business performance. He currently serves on the boards of PSP Investments and Porch Group Inc., and previously held board and industry leadership roles with Aviva plc, The Geneva Association, the Insurance Development Forum, ClimateWise, the Insurance Bureau of Canada, and other insurance organizations. </w:t>
      </w:r>
    </w:p>
    <w:p>
      <w:pPr>
        <w:pStyle w:val="TextBody"/>
        <w:bidi w:val="0"/>
        <w:spacing w:before="240" w:after="0"/>
        <w:jc w:val="left"/>
        <w:rPr>
          <w:rFonts w:ascii="Times New Roman" w:hAnsi="Times New Roman"/>
          <w:sz w:val="20"/>
        </w:rPr>
      </w:pPr>
      <w:r>
        <w:rPr>
          <w:rFonts w:ascii="Times New Roman" w:hAnsi="Times New Roman"/>
          <w:sz w:val="20"/>
        </w:rPr>
        <w:t xml:space="preserve">Mr. Tulloch holds a Chartered Professional Accountant (CPA) designation, an MBA from Heriot-Watt University in Edinburgh, and a B.A. in Economics from the University of Waterloo. </w:t>
      </w:r>
    </w:p>
    <w:p>
      <w:pPr>
        <w:pStyle w:val="TextBody"/>
        <w:bidi w:val="0"/>
        <w:spacing w:before="360" w:after="0"/>
        <w:jc w:val="left"/>
        <w:rPr>
          <w:rFonts w:ascii="Times New Roman" w:hAnsi="Times New Roman"/>
          <w:b/>
          <w:sz w:val="20"/>
        </w:rPr>
      </w:pPr>
      <w:r>
        <w:rPr>
          <w:rFonts w:ascii="Times New Roman" w:hAnsi="Times New Roman"/>
          <w:b/>
          <w:sz w:val="20"/>
        </w:rPr>
        <w:t>About RGA</w:t>
      </w:r>
    </w:p>
    <w:p>
      <w:pPr>
        <w:pStyle w:val="TextBody"/>
        <w:bidi w:val="0"/>
        <w:spacing w:before="120" w:after="0"/>
        <w:jc w:val="left"/>
        <w:rPr>
          <w:rFonts w:ascii="Times New Roman" w:hAnsi="Times New Roman"/>
          <w:sz w:val="20"/>
        </w:rPr>
      </w:pPr>
      <w:r>
        <w:rPr>
          <w:rFonts w:ascii="Times New Roman" w:hAnsi="Times New Roman"/>
          <w:sz w:val="20"/>
          <w:u w:val="single"/>
        </w:rPr>
        <w:t>Reinsurance Group of America, Incorporated</w:t>
      </w:r>
      <w:r>
        <w:rPr>
          <w:rFonts w:ascii="Times New Roman" w:hAnsi="Times New Roman"/>
          <w:sz w:val="20"/>
        </w:rPr>
        <w:t xml:space="preserve"> (NYSE: RGA) is a global industry leader specializing in life and health reinsurance and financial solutions that help clients effectively manage risk and optimize capital. Founded in 1973, RGA is one of the world’s largest and most respected reinsurers and remains guided by a powerful purpose: to make financial protection accessible to all. As a global capabilities and solutions leader, RGA empowers partners through bold innovation, relentless execution, and dedicated client focus – all directed toward creating sustainable long-term value. RGA has approximately $4.3 trillion of life reinsurance in force and total assets of $156.6 billion as of December 31, 2025. To learn more about RGA and its businesses, please visit </w:t>
      </w:r>
      <w:r>
        <w:rPr>
          <w:rFonts w:ascii="Times New Roman" w:hAnsi="Times New Roman"/>
          <w:sz w:val="20"/>
          <w:u w:val="single"/>
        </w:rPr>
        <w:t>rgare.com</w:t>
      </w:r>
      <w:r>
        <w:rPr>
          <w:rFonts w:ascii="Times New Roman" w:hAnsi="Times New Roman"/>
          <w:sz w:val="20"/>
        </w:rPr>
        <w:t xml:space="preserve"> or follow RGA on </w:t>
      </w:r>
      <w:r>
        <w:rPr>
          <w:rFonts w:ascii="Times New Roman" w:hAnsi="Times New Roman"/>
          <w:sz w:val="20"/>
          <w:u w:val="single"/>
        </w:rPr>
        <w:t>LinkedIn</w:t>
      </w:r>
      <w:r>
        <w:rPr>
          <w:rFonts w:ascii="Times New Roman" w:hAnsi="Times New Roman"/>
          <w:sz w:val="20"/>
        </w:rPr>
        <w:t xml:space="preserve"> and </w:t>
      </w:r>
      <w:r>
        <w:rPr>
          <w:rFonts w:ascii="Times New Roman" w:hAnsi="Times New Roman"/>
          <w:sz w:val="20"/>
          <w:u w:val="single"/>
        </w:rPr>
        <w:t>Facebook</w:t>
      </w:r>
      <w:r>
        <w:rPr>
          <w:rFonts w:ascii="Times New Roman" w:hAnsi="Times New Roman"/>
          <w:sz w:val="20"/>
        </w:rPr>
        <w:t xml:space="preserve">. Investors can learn more at </w:t>
      </w:r>
      <w:r>
        <w:rPr>
          <w:rFonts w:ascii="Times New Roman" w:hAnsi="Times New Roman"/>
          <w:sz w:val="20"/>
          <w:u w:val="single"/>
        </w:rPr>
        <w:t>investor.rgare.com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 MORE INFORMATION: </w:t>
      </w:r>
    </w:p>
    <w:p>
      <w:pPr>
        <w:pStyle w:val="TextBody"/>
        <w:bidi w:val="0"/>
        <w:spacing w:before="120" w:after="0"/>
        <w:jc w:val="left"/>
        <w:rPr>
          <w:rFonts w:ascii="Times New Roman" w:hAnsi="Times New Roman"/>
          <w:sz w:val="20"/>
        </w:rPr>
      </w:pPr>
      <w:r>
        <w:rPr>
          <w:rFonts w:ascii="Times New Roman" w:hAnsi="Times New Roman"/>
          <w:sz w:val="20"/>
        </w:rPr>
        <w:t xml:space="preserve">Crystal Lu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Investor Relations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Crystal.Lu@rgare.com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Jeff Hopson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636-736-2068 </w:t>
      </w:r>
    </w:p>
    <w:p>
      <w:pPr>
        <w:pStyle w:val="TextBody"/>
        <w:bidi w:val="0"/>
        <w:spacing w:before="0" w:after="0"/>
        <w:jc w:val="left"/>
        <w:rPr>
          <w:rFonts w:ascii="Times New Roman" w:hAnsi="Times New Roman"/>
          <w:sz w:val="20"/>
        </w:rPr>
      </w:pPr>
      <w:r>
        <w:rPr>
          <w:rFonts w:ascii="Times New Roman" w:hAnsi="Times New Roman"/>
          <w:sz w:val="20"/>
          <w:u w:val="single"/>
        </w:rPr>
        <w:t>jhopson@rgare.com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Lynn Phillips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Enterprise Marketing &amp; Communications </w:t>
      </w:r>
    </w:p>
    <w:p>
      <w:pPr>
        <w:pStyle w:val="TextBody"/>
        <w:bidi w:val="0"/>
        <w:spacing w:before="0" w:after="0"/>
        <w:jc w:val="left"/>
        <w:rPr>
          <w:rFonts w:ascii="Times New Roman" w:hAnsi="Times New Roman"/>
          <w:sz w:val="20"/>
        </w:rPr>
      </w:pPr>
      <w:r>
        <w:rPr>
          <w:rFonts w:ascii="Times New Roman" w:hAnsi="Times New Roman"/>
          <w:sz w:val="20"/>
        </w:rPr>
        <w:t xml:space="preserve">636-736-2351 </w:t>
      </w:r>
    </w:p>
    <w:p>
      <w:pPr>
        <w:pStyle w:val="TextBody"/>
        <w:bidi w:val="0"/>
        <w:spacing w:before="0" w:after="0"/>
        <w:jc w:val="left"/>
        <w:rPr>
          <w:rFonts w:ascii="Times New Roman" w:hAnsi="Times New Roman"/>
          <w:sz w:val="20"/>
        </w:rPr>
      </w:pPr>
      <w:r>
        <w:rPr>
          <w:rFonts w:ascii="Times New Roman" w:hAnsi="Times New Roman"/>
          <w:sz w:val="20"/>
          <w:u w:val="single"/>
        </w:rPr>
        <w:t>lphillips@rgare.com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Lizzie Curry </w:t>
      </w:r>
    </w:p>
    <w:p>
      <w:pPr>
        <w:pStyle w:val="TextBody"/>
        <w:bidi w:val="0"/>
        <w:spacing w:before="0" w:after="0"/>
        <w:jc w:val="left"/>
        <w:rPr>
          <w:rFonts w:ascii="Times New Roman" w:hAnsi="Times New Roman"/>
          <w:sz w:val="20"/>
        </w:rPr>
      </w:pPr>
      <w:r>
        <w:rPr>
          <w:rFonts w:ascii="Times New Roman" w:hAnsi="Times New Roman"/>
          <w:sz w:val="20"/>
        </w:rPr>
        <w:t xml:space="preserve">Executive Director, Public Relations </w:t>
      </w:r>
    </w:p>
    <w:p>
      <w:pPr>
        <w:pStyle w:val="TextBody"/>
        <w:bidi w:val="0"/>
        <w:spacing w:before="0" w:after="0"/>
        <w:jc w:val="left"/>
        <w:rPr>
          <w:rFonts w:ascii="Times New Roman" w:hAnsi="Times New Roman"/>
          <w:sz w:val="20"/>
        </w:rPr>
      </w:pPr>
      <w:r>
        <w:rPr>
          <w:rFonts w:ascii="Times New Roman" w:hAnsi="Times New Roman"/>
          <w:sz w:val="20"/>
        </w:rPr>
        <w:t xml:space="preserve">636-736-8521 </w:t>
      </w:r>
    </w:p>
    <w:p>
      <w:pPr>
        <w:pStyle w:val="TextBody"/>
        <w:bidi w:val="0"/>
        <w:spacing w:before="0" w:after="0"/>
        <w:jc w:val="left"/>
        <w:rPr>
          <w:rFonts w:ascii="Times New Roman" w:hAnsi="Times New Roman"/>
          <w:sz w:val="20"/>
          <w:u w:val="single"/>
        </w:rPr>
      </w:pPr>
      <w:r>
        <w:rPr>
          <w:rFonts w:ascii="Times New Roman" w:hAnsi="Times New Roman"/>
          <w:sz w:val="20"/>
          <w:u w:val="single"/>
        </w:rPr>
        <w:t>lizzie.curry@rgare.com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1370</Words>
  <Characters>7738</Characters>
  <CharactersWithSpaces>9108</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dc:title>
</cp:coreProperties>
</file>