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99677.xml.htm"/>
      <w:bookmarkStart w:id="1" w:name="kswkform4_17926996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TRAN KHANH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16600 SWINGLEY RIDGE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CHESTERFIELD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REINSURANCE GROUP OF AMERICA INC</w:t>
              </w:r>
            </w:hyperlink>
            <w:r>
              <w:rPr/>
              <w:t xml:space="preserve"> [ </w:t>
            </w:r>
            <w:r>
              <w:rPr>
                <w:rFonts w:ascii="Times;serif" w:hAnsi="Times;serif"/>
                <w:color w:val="0000FF"/>
                <w:sz w:val="24"/>
                <w:shd w:fill="FFFFFF" w:val="clear"/>
              </w:rPr>
              <w:t>RGA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321"/>
        <w:gridCol w:w="480"/>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8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27</w:t>
            </w:r>
            <w:r>
              <w:rPr>
                <w:rFonts w:ascii="Times;serif" w:hAnsi="Times;serif"/>
                <w:color w:val="008000"/>
                <w:position w:val="7"/>
                <w:sz w:val="16"/>
                <w:sz w:val="20"/>
                <w:shd w:fill="FFFFFF" w:val="clear"/>
              </w:rPr>
              <w:t>(2)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convert 1 for 1 to common stock, based on fair market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cancellation and forfeiture to the issuer, for no consideration, of 27 phantom stock units previously credited to the reporting person on May 20, 2026, as reflected in a Form 4 filed by the reporting person on May 22, 2026. These phantom stock units were cancelled and forfeited to account for an administrative error which resulted in such phantom stock units inadvertently being credited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Director can elect to receive payment (1) upon retirement or (2) after a five or seven year deferral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Distributable upon director's retirement from the Board in accordance with distribution elections.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My Chi To,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4774" TargetMode="External"/><Relationship Id="rId5" Type="http://schemas.openxmlformats.org/officeDocument/2006/relationships/hyperlink" Target="http://www.sec.gov/cgi-bin/browse-edgar?action=getcompany&amp;CIK=00008981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3700</Characters>
  <CharactersWithSpaces>4318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