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200" w:type="dxa"/>
        <w:tblCellMar>
          <w:top w:w="0" w:type="dxa"/>
          <w:left w:w="0" w:type="dxa"/>
          <w:bottom w:w="0" w:type="dxa"/>
          <w:right w:w="0" w:type="dxa"/>
        </w:tblCellMar>
      </w:tblPr>
      <w:tr>
        <w:trPr>
          <w:trHeight w:val="4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6"/>
              </w:rPr>
              <w:t>UNITED STATES</w:t>
            </w:r>
          </w:p>
        </w:tc>
        <w:tc>
          <w:tcPr>
            <w:tcW w:w="40" w:type="dxa"/>
            <w:vAlign w:val="bottom"/>
            <w:tcBorders>
              <w:top w:val="single" w:sz="8" w:color="808080"/>
            </w:tcBorders>
          </w:tcPr>
          <w:p>
            <w:pPr>
              <w:spacing w:after="0"/>
              <w:rPr>
                <w:sz w:val="3"/>
                <w:szCs w:val="3"/>
                <w:color w:val="auto"/>
              </w:rPr>
            </w:pPr>
          </w:p>
        </w:tc>
        <w:tc>
          <w:tcPr>
            <w:tcW w:w="290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940" w:type="dxa"/>
            <w:vAlign w:val="bottom"/>
            <w:gridSpan w:val="3"/>
          </w:tcPr>
          <w:p>
            <w:pPr>
              <w:ind w:left="7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2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8"/>
              </w:rPr>
              <w:t>SECURITIES AND EXCHANGE COMMISSION</w:t>
            </w:r>
          </w:p>
        </w:tc>
        <w:tc>
          <w:tcPr>
            <w:tcW w:w="40" w:type="dxa"/>
            <w:vAlign w:val="bottom"/>
          </w:tcPr>
          <w:p>
            <w:pPr>
              <w:spacing w:after="0" w:line="20" w:lineRule="exact"/>
              <w:rPr>
                <w:sz w:val="1"/>
                <w:szCs w:val="1"/>
                <w:color w:val="auto"/>
              </w:rPr>
            </w:pPr>
          </w:p>
        </w:tc>
        <w:tc>
          <w:tcPr>
            <w:tcW w:w="1740" w:type="dxa"/>
            <w:vAlign w:val="bottom"/>
            <w:tcBorders>
              <w:top w:val="single" w:sz="8" w:color="808080"/>
              <w:bottom w:val="single" w:sz="8" w:color="2C2C2C"/>
            </w:tcBorders>
          </w:tcPr>
          <w:p>
            <w:pPr>
              <w:spacing w:after="0" w:line="20" w:lineRule="exact"/>
              <w:rPr>
                <w:sz w:val="1"/>
                <w:szCs w:val="1"/>
                <w:color w:val="auto"/>
              </w:rPr>
            </w:pPr>
          </w:p>
        </w:tc>
        <w:tc>
          <w:tcPr>
            <w:tcW w:w="11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1160" w:type="dxa"/>
            <w:vAlign w:val="bottom"/>
          </w:tcPr>
          <w:p>
            <w:pPr>
              <w:jc w:val="right"/>
              <w:spacing w:after="0"/>
              <w:rPr>
                <w:sz w:val="20"/>
                <w:szCs w:val="20"/>
                <w:color w:val="auto"/>
              </w:rPr>
            </w:pPr>
            <w:r>
              <w:rPr>
                <w:rFonts w:ascii="Arial" w:cs="Arial" w:eastAsia="Arial" w:hAnsi="Arial"/>
                <w:sz w:val="12"/>
                <w:szCs w:val="12"/>
                <w:color w:val="auto"/>
              </w:rPr>
              <w:t>3235-0080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5840" w:type="dxa"/>
            <w:vAlign w:val="bottom"/>
            <w:vMerge w:val="restart"/>
          </w:tcPr>
          <w:p>
            <w:pPr>
              <w:jc w:val="center"/>
              <w:ind w:right="1139"/>
              <w:spacing w:after="0"/>
              <w:rPr>
                <w:sz w:val="20"/>
                <w:szCs w:val="20"/>
                <w:color w:val="auto"/>
              </w:rPr>
            </w:pPr>
            <w:r>
              <w:rPr>
                <w:rFonts w:ascii="Arial" w:cs="Arial" w:eastAsia="Arial" w:hAnsi="Arial"/>
                <w:sz w:val="18"/>
                <w:szCs w:val="18"/>
                <w:color w:val="auto"/>
                <w:w w:val="97"/>
              </w:rPr>
              <w:t>Washington, D.C. 20549</w:t>
            </w:r>
          </w:p>
        </w:tc>
        <w:tc>
          <w:tcPr>
            <w:tcW w:w="40" w:type="dxa"/>
            <w:vAlign w:val="bottom"/>
          </w:tcPr>
          <w:p>
            <w:pPr>
              <w:spacing w:after="0"/>
              <w:rPr>
                <w:sz w:val="13"/>
                <w:szCs w:val="13"/>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Expires:</w:t>
            </w: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March 31, 2018</w:t>
            </w:r>
          </w:p>
        </w:tc>
        <w:tc>
          <w:tcPr>
            <w:tcW w:w="0" w:type="dxa"/>
            <w:vAlign w:val="bottom"/>
          </w:tcPr>
          <w:p>
            <w:pPr>
              <w:spacing w:after="0"/>
              <w:rPr>
                <w:sz w:val="1"/>
                <w:szCs w:val="1"/>
                <w:color w:val="auto"/>
              </w:rPr>
            </w:pPr>
          </w:p>
        </w:tc>
      </w:tr>
      <w:tr>
        <w:trPr>
          <w:trHeight w:val="139"/>
        </w:trPr>
        <w:tc>
          <w:tcPr>
            <w:tcW w:w="5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740" w:type="dxa"/>
            <w:vAlign w:val="bottom"/>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58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4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rPr>
          <w:sz w:val="24"/>
          <w:szCs w:val="24"/>
          <w:color w:val="auto"/>
        </w:rPr>
        <w:sectPr>
          <w:pgSz w:w="11900" w:h="16838" w:orient="portrait"/>
          <w:cols w:equalWidth="0" w:num="1">
            <w:col w:w="10020"/>
          </w:cols>
          <w:pgMar w:left="920" w:top="268" w:right="959" w:bottom="1440" w:gutter="0" w:footer="0" w:header="0"/>
        </w:sectPr>
      </w:pPr>
      <w:r>
        <w:rPr>
          <w:sz w:val="24"/>
          <w:szCs w:val="24"/>
          <w:color w:val="auto"/>
        </w:rPr>
        <w:drawing>
          <wp:anchor simplePos="0" relativeHeight="251657728" behindDoc="1" locked="0" layoutInCell="0" allowOverlap="1">
            <wp:simplePos x="0" y="0"/>
            <wp:positionH relativeFrom="page">
              <wp:posOffset>6899275</wp:posOffset>
            </wp:positionH>
            <wp:positionV relativeFrom="page">
              <wp:posOffset>170180</wp:posOffset>
            </wp:positionV>
            <wp:extent cx="59690"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788670"/>
                    </a:xfrm>
                    <a:prstGeom prst="rect">
                      <a:avLst/>
                    </a:prstGeom>
                    <a:noFill/>
                  </pic:spPr>
                </pic:pic>
              </a:graphicData>
            </a:graphic>
          </wp:anchor>
        </w:drawing>
        <w:drawing>
          <wp:anchor simplePos="0" relativeHeight="251657728" behindDoc="1" locked="0" layoutInCell="0" allowOverlap="1">
            <wp:simplePos x="0" y="0"/>
            <wp:positionH relativeFrom="page">
              <wp:posOffset>5047615</wp:posOffset>
            </wp:positionH>
            <wp:positionV relativeFrom="page">
              <wp:posOffset>170180</wp:posOffset>
            </wp:positionV>
            <wp:extent cx="59690" cy="788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788670"/>
                    </a:xfrm>
                    <a:prstGeom prst="rect">
                      <a:avLst/>
                    </a:prstGeom>
                    <a:noFill/>
                  </pic:spPr>
                </pic:pic>
              </a:graphicData>
            </a:graphic>
          </wp:anchor>
        </w:drawing>
      </w:r>
    </w:p>
    <w:p>
      <w:pPr>
        <w:jc w:val="center"/>
        <w:ind w:left="680"/>
        <w:spacing w:after="0"/>
        <w:rPr>
          <w:sz w:val="20"/>
          <w:szCs w:val="20"/>
          <w:color w:val="auto"/>
        </w:rPr>
      </w:pPr>
      <w:r>
        <w:rPr>
          <w:rFonts w:ascii="Arial" w:cs="Arial" w:eastAsia="Arial" w:hAnsi="Arial"/>
          <w:sz w:val="21"/>
          <w:szCs w:val="21"/>
          <w:b w:val="1"/>
          <w:bCs w:val="1"/>
          <w:color w:val="auto"/>
        </w:rPr>
        <w:t>FORM 25</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40" w:type="dxa"/>
            <w:vAlign w:val="bottom"/>
          </w:tcPr>
          <w:p>
            <w:pPr>
              <w:spacing w:after="0"/>
              <w:rPr>
                <w:sz w:val="13"/>
                <w:szCs w:val="13"/>
                <w:color w:val="auto"/>
              </w:rPr>
            </w:pPr>
          </w:p>
        </w:tc>
        <w:tc>
          <w:tcPr>
            <w:tcW w:w="19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1000" w:type="dxa"/>
            <w:vAlign w:val="bottom"/>
          </w:tcPr>
          <w:p>
            <w:pPr>
              <w:jc w:val="right"/>
              <w:spacing w:after="0"/>
              <w:rPr>
                <w:sz w:val="20"/>
                <w:szCs w:val="20"/>
                <w:color w:val="auto"/>
              </w:rPr>
            </w:pPr>
            <w:r>
              <w:rPr>
                <w:rFonts w:ascii="Arial" w:cs="Arial" w:eastAsia="Arial" w:hAnsi="Arial"/>
                <w:sz w:val="12"/>
                <w:szCs w:val="12"/>
                <w:color w:val="auto"/>
              </w:rPr>
              <w:t>1.7</w:t>
            </w:r>
          </w:p>
        </w:tc>
        <w:tc>
          <w:tcPr>
            <w:tcW w:w="40" w:type="dxa"/>
            <w:vAlign w:val="bottom"/>
          </w:tcPr>
          <w:p>
            <w:pPr>
              <w:spacing w:after="0"/>
              <w:rPr>
                <w:sz w:val="13"/>
                <w:szCs w:val="13"/>
                <w:color w:val="auto"/>
              </w:rPr>
            </w:pPr>
          </w:p>
        </w:tc>
      </w:tr>
      <w:tr>
        <w:trPr>
          <w:trHeight w:val="43"/>
        </w:trPr>
        <w:tc>
          <w:tcPr>
            <w:tcW w:w="40" w:type="dxa"/>
            <w:vAlign w:val="bottom"/>
          </w:tcPr>
          <w:p>
            <w:pPr>
              <w:spacing w:after="0"/>
              <w:rPr>
                <w:sz w:val="3"/>
                <w:szCs w:val="3"/>
                <w:color w:val="auto"/>
              </w:rPr>
            </w:pPr>
          </w:p>
        </w:tc>
        <w:tc>
          <w:tcPr>
            <w:tcW w:w="1900" w:type="dxa"/>
            <w:vAlign w:val="bottom"/>
            <w:tcBorders>
              <w:bottom w:val="single" w:sz="8" w:color="808080"/>
            </w:tcBorders>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26" w:lineRule="exact"/>
        <w:rPr>
          <w:sz w:val="24"/>
          <w:szCs w:val="24"/>
          <w:color w:val="auto"/>
        </w:rPr>
      </w:pPr>
    </w:p>
    <w:p>
      <w:pPr>
        <w:sectPr>
          <w:pgSz w:w="11900" w:h="16838" w:orient="portrait"/>
          <w:cols w:equalWidth="0" w:num="2">
            <w:col w:w="6320" w:space="720"/>
            <w:col w:w="2980"/>
          </w:cols>
          <w:pgMar w:left="920" w:top="268" w:right="959" w:bottom="1440" w:gutter="0" w:footer="0" w:header="0"/>
          <w:type w:val="continuous"/>
        </w:sectPr>
      </w:pPr>
    </w:p>
    <w:p>
      <w:pPr>
        <w:ind w:left="1420"/>
        <w:spacing w:after="0"/>
        <w:rPr>
          <w:sz w:val="20"/>
          <w:szCs w:val="20"/>
          <w:color w:val="auto"/>
        </w:rPr>
      </w:pPr>
      <w:r>
        <w:rPr>
          <w:rFonts w:ascii="Arial" w:cs="Arial" w:eastAsia="Arial" w:hAnsi="Arial"/>
          <w:sz w:val="22"/>
          <w:szCs w:val="22"/>
          <w:b w:val="1"/>
          <w:bCs w:val="1"/>
          <w:color w:val="auto"/>
        </w:rPr>
        <w:t>NOTIFICATION OF REMOVAL FROM LISTING AND/OR REGISTRATION</w:t>
      </w:r>
    </w:p>
    <w:p>
      <w:pPr>
        <w:spacing w:after="0" w:line="12" w:lineRule="exact"/>
        <w:rPr>
          <w:sz w:val="24"/>
          <w:szCs w:val="24"/>
          <w:color w:val="auto"/>
        </w:rPr>
      </w:pPr>
    </w:p>
    <w:p>
      <w:pPr>
        <w:ind w:left="1340"/>
        <w:spacing w:after="0"/>
        <w:rPr>
          <w:sz w:val="20"/>
          <w:szCs w:val="20"/>
          <w:color w:val="auto"/>
        </w:rPr>
      </w:pPr>
      <w:r>
        <w:rPr>
          <w:rFonts w:ascii="Arial" w:cs="Arial" w:eastAsia="Arial" w:hAnsi="Arial"/>
          <w:sz w:val="22"/>
          <w:szCs w:val="22"/>
          <w:b w:val="1"/>
          <w:bCs w:val="1"/>
          <w:color w:val="auto"/>
        </w:rPr>
        <w:t>UNDER SECTION 12(b) OF THE SECURITIES EXCHANGE ACT OF 1934.</w:t>
      </w:r>
    </w:p>
    <w:p>
      <w:pPr>
        <w:spacing w:after="0" w:line="23" w:lineRule="exact"/>
        <w:rPr>
          <w:sz w:val="24"/>
          <w:szCs w:val="24"/>
          <w:color w:val="auto"/>
        </w:rPr>
      </w:pPr>
    </w:p>
    <w:p>
      <w:pPr>
        <w:ind w:left="5020"/>
        <w:spacing w:after="0"/>
        <w:rPr>
          <w:rFonts w:ascii="Arial" w:cs="Arial" w:eastAsia="Arial" w:hAnsi="Arial"/>
          <w:sz w:val="18"/>
          <w:szCs w:val="18"/>
          <w:color w:val="auto"/>
        </w:rPr>
      </w:pPr>
      <w:r>
        <w:rPr>
          <w:rFonts w:ascii="Arial" w:cs="Arial" w:eastAsia="Arial" w:hAnsi="Arial"/>
          <w:sz w:val="18"/>
          <w:szCs w:val="18"/>
          <w:color w:val="auto"/>
        </w:rPr>
        <w:t xml:space="preserve">Commission File Number </w:t>
      </w:r>
      <w:hyperlink r:id="rId10">
        <w:r>
          <w:rPr>
            <w:rFonts w:ascii="Times New Roman" w:cs="Times New Roman" w:eastAsia="Times New Roman" w:hAnsi="Times New Roman"/>
            <w:sz w:val="21"/>
            <w:szCs w:val="21"/>
            <w:u w:val="single" w:color="auto"/>
            <w:color w:val="0000EE"/>
          </w:rPr>
          <w:t>001-11848</w:t>
        </w:r>
      </w:hyperlink>
    </w:p>
    <w:p>
      <w:pPr>
        <w:spacing w:after="0" w:line="136" w:lineRule="exact"/>
        <w:rPr>
          <w:sz w:val="24"/>
          <w:szCs w:val="24"/>
          <w:color w:val="auto"/>
        </w:rPr>
      </w:pPr>
    </w:p>
    <w:p>
      <w:pPr>
        <w:ind w:left="2500"/>
        <w:spacing w:after="0"/>
        <w:tabs>
          <w:tab w:leader="none" w:pos="3380" w:val="left"/>
        </w:tabs>
        <w:rPr>
          <w:rFonts w:ascii="Times New Roman" w:cs="Times New Roman" w:eastAsia="Times New Roman" w:hAnsi="Times New Roman"/>
          <w:sz w:val="22"/>
          <w:szCs w:val="22"/>
          <w:u w:val="single" w:color="auto"/>
          <w:color w:val="0000EE"/>
        </w:rPr>
      </w:pPr>
      <w:r>
        <w:rPr>
          <w:rFonts w:ascii="Arial" w:cs="Arial" w:eastAsia="Arial" w:hAnsi="Arial"/>
          <w:sz w:val="18"/>
          <w:szCs w:val="18"/>
          <w:color w:val="auto"/>
        </w:rPr>
        <w:t>Issuer:</w:t>
      </w:r>
      <w:r>
        <w:rPr>
          <w:sz w:val="20"/>
          <w:szCs w:val="20"/>
          <w:color w:val="auto"/>
        </w:rPr>
        <w:tab/>
      </w:r>
      <w:hyperlink r:id="rId11">
        <w:r>
          <w:rPr>
            <w:rFonts w:ascii="Times New Roman" w:cs="Times New Roman" w:eastAsia="Times New Roman" w:hAnsi="Times New Roman"/>
            <w:sz w:val="22"/>
            <w:szCs w:val="22"/>
            <w:u w:val="single" w:color="auto"/>
            <w:color w:val="0000EE"/>
          </w:rPr>
          <w:t>REINSURANCE GROUP OF AMERICA INC</w:t>
        </w:r>
      </w:hyperlink>
    </w:p>
    <w:p>
      <w:pPr>
        <w:spacing w:after="0" w:line="57" w:lineRule="exact"/>
        <w:rPr>
          <w:sz w:val="24"/>
          <w:szCs w:val="24"/>
          <w:color w:val="auto"/>
        </w:rPr>
      </w:pPr>
    </w:p>
    <w:p>
      <w:pPr>
        <w:ind w:left="2500"/>
        <w:spacing w:after="0"/>
        <w:rPr>
          <w:sz w:val="20"/>
          <w:szCs w:val="20"/>
          <w:color w:val="auto"/>
        </w:rPr>
      </w:pPr>
      <w:r>
        <w:rPr>
          <w:rFonts w:ascii="Arial" w:cs="Arial" w:eastAsia="Arial" w:hAnsi="Arial"/>
          <w:sz w:val="18"/>
          <w:szCs w:val="18"/>
          <w:color w:val="auto"/>
        </w:rPr>
        <w:t xml:space="preserve">Exchange: </w:t>
      </w:r>
      <w:r>
        <w:rPr>
          <w:rFonts w:ascii="Times New Roman" w:cs="Times New Roman" w:eastAsia="Times New Roman" w:hAnsi="Times New Roman"/>
          <w:sz w:val="18"/>
          <w:szCs w:val="18"/>
          <w:color w:val="0000FF"/>
        </w:rPr>
        <w:t>NEW YORK STOCK EXCHANGE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(Exact name of Issuer as specified in its charter, and name of Exchange where security is listed and/or registered)</w:t>
      </w:r>
    </w:p>
    <w:p>
      <w:pPr>
        <w:spacing w:after="0" w:line="91" w:lineRule="exact"/>
        <w:rPr>
          <w:sz w:val="24"/>
          <w:szCs w:val="24"/>
          <w:color w:val="auto"/>
        </w:rPr>
      </w:pPr>
    </w:p>
    <w:p>
      <w:pPr>
        <w:ind w:left="2340"/>
        <w:spacing w:after="0"/>
        <w:tabs>
          <w:tab w:leader="none" w:pos="3900" w:val="left"/>
        </w:tabs>
        <w:rPr>
          <w:sz w:val="20"/>
          <w:szCs w:val="20"/>
          <w:color w:val="auto"/>
        </w:rPr>
      </w:pPr>
      <w:r>
        <w:rPr>
          <w:rFonts w:ascii="Arial" w:cs="Arial" w:eastAsia="Arial" w:hAnsi="Arial"/>
          <w:sz w:val="18"/>
          <w:szCs w:val="18"/>
          <w:color w:val="auto"/>
        </w:rPr>
        <w:t>Address:</w:t>
      </w:r>
      <w:r>
        <w:rPr>
          <w:sz w:val="20"/>
          <w:szCs w:val="20"/>
          <w:color w:val="auto"/>
        </w:rPr>
        <w:tab/>
      </w:r>
      <w:r>
        <w:rPr>
          <w:rFonts w:ascii="Times New Roman" w:cs="Times New Roman" w:eastAsia="Times New Roman" w:hAnsi="Times New Roman"/>
          <w:sz w:val="18"/>
          <w:szCs w:val="18"/>
          <w:color w:val="0000FF"/>
        </w:rPr>
        <w:t>16600 SWINGLEY RIDGE ROAD</w:t>
      </w:r>
    </w:p>
    <w:p>
      <w:pPr>
        <w:spacing w:after="0" w:line="62"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color w:val="0000FF"/>
        </w:rPr>
        <w:t>CHESTERFIELD MISSOURI 63017</w:t>
      </w:r>
    </w:p>
    <w:p>
      <w:pPr>
        <w:spacing w:after="0" w:line="63" w:lineRule="exact"/>
        <w:rPr>
          <w:sz w:val="24"/>
          <w:szCs w:val="24"/>
          <w:color w:val="auto"/>
        </w:rPr>
      </w:pPr>
    </w:p>
    <w:tbl>
      <w:tblPr>
        <w:tblLayout w:type="fixed"/>
        <w:tblInd w:w="2340" w:type="dxa"/>
        <w:tblCellMar>
          <w:top w:w="0" w:type="dxa"/>
          <w:left w:w="0" w:type="dxa"/>
          <w:bottom w:w="0" w:type="dxa"/>
          <w:right w:w="0" w:type="dxa"/>
        </w:tblCellMar>
      </w:tblPr>
      <w:tr>
        <w:trPr>
          <w:trHeight w:val="232"/>
        </w:trPr>
        <w:tc>
          <w:tcPr>
            <w:tcW w:w="2920" w:type="dxa"/>
            <w:vAlign w:val="bottom"/>
          </w:tcPr>
          <w:p>
            <w:pPr>
              <w:spacing w:after="0"/>
              <w:rPr>
                <w:sz w:val="20"/>
                <w:szCs w:val="20"/>
                <w:color w:val="auto"/>
              </w:rPr>
            </w:pPr>
            <w:r>
              <w:rPr>
                <w:rFonts w:ascii="Arial" w:cs="Arial" w:eastAsia="Arial" w:hAnsi="Arial"/>
                <w:sz w:val="18"/>
                <w:szCs w:val="18"/>
                <w:color w:val="auto"/>
              </w:rPr>
              <w:t>Telephone number:</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636-736-7000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33020</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86" w:lineRule="exact"/>
        <w:rPr>
          <w:sz w:val="24"/>
          <w:szCs w:val="24"/>
          <w:color w:val="auto"/>
        </w:rPr>
      </w:pPr>
    </w:p>
    <w:p>
      <w:pPr>
        <w:ind w:left="660"/>
        <w:spacing w:after="0"/>
        <w:rPr>
          <w:sz w:val="20"/>
          <w:szCs w:val="20"/>
          <w:color w:val="auto"/>
        </w:rPr>
      </w:pPr>
      <w:r>
        <w:rPr>
          <w:rFonts w:ascii="Arial" w:cs="Arial" w:eastAsia="Arial" w:hAnsi="Arial"/>
          <w:sz w:val="12"/>
          <w:szCs w:val="12"/>
          <w:color w:val="auto"/>
        </w:rPr>
        <w:t>(Address, including zip code, and telephone number, including area code, of Issuer's principal executive offices)</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0000FF"/>
        </w:rPr>
        <w:t>5.75% Fixed-To-Floating Rate Subordinated Debentures due 2056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23495</wp:posOffset>
            </wp:positionV>
            <wp:extent cx="55378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7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(Description of class of securities)</w:t>
      </w:r>
    </w:p>
    <w:p>
      <w:pPr>
        <w:spacing w:after="0" w:line="93" w:lineRule="exact"/>
        <w:rPr>
          <w:sz w:val="24"/>
          <w:szCs w:val="24"/>
          <w:color w:val="auto"/>
        </w:rPr>
      </w:pPr>
    </w:p>
    <w:p>
      <w:pPr>
        <w:ind w:right="860"/>
        <w:spacing w:after="0" w:line="262" w:lineRule="auto"/>
        <w:rPr>
          <w:sz w:val="20"/>
          <w:szCs w:val="20"/>
          <w:color w:val="auto"/>
        </w:rPr>
      </w:pPr>
      <w:r>
        <w:rPr>
          <w:rFonts w:ascii="Arial" w:cs="Arial" w:eastAsia="Arial" w:hAnsi="Arial"/>
          <w:sz w:val="18"/>
          <w:szCs w:val="18"/>
          <w:color w:val="auto"/>
        </w:rPr>
        <w:t>Please place an X in the box to designate the rule provision relied upon to strike the class of securities from listing and registration:</w:t>
      </w:r>
    </w:p>
    <w:p>
      <w:pPr>
        <w:spacing w:after="0" w:line="20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240.12d2-2(a)(1)</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240.12d2-2(a)(2)</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240.12d2-2(a)(3)</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240.12d2-2(a)(4)</w:t>
      </w:r>
    </w:p>
    <w:p>
      <w:pPr>
        <w:spacing w:after="0" w:line="205" w:lineRule="exact"/>
        <w:rPr>
          <w:sz w:val="24"/>
          <w:szCs w:val="24"/>
          <w:color w:val="auto"/>
        </w:rPr>
      </w:pPr>
    </w:p>
    <w:p>
      <w:pPr>
        <w:ind w:left="780" w:right="1360" w:firstLine="54"/>
        <w:spacing w:after="0" w:line="275" w:lineRule="auto"/>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240.12d2-2(b), the Exchange has complied with its rules to strike the class of securities from listing and/or withdraw registration on the Exchange. </w:t>
      </w:r>
      <w:r>
        <w:rPr>
          <w:rFonts w:ascii="Arial" w:cs="Arial" w:eastAsia="Arial" w:hAnsi="Arial"/>
          <w:sz w:val="29"/>
          <w:szCs w:val="29"/>
          <w:u w:val="single" w:color="auto"/>
          <w:color w:val="0000EE"/>
          <w:vertAlign w:val="superscript"/>
        </w:rPr>
        <w:t>1</w:t>
      </w:r>
    </w:p>
    <w:p>
      <w:pPr>
        <w:spacing w:after="0" w:line="36" w:lineRule="exact"/>
        <w:rPr>
          <w:sz w:val="24"/>
          <w:szCs w:val="24"/>
          <w:color w:val="auto"/>
        </w:rPr>
      </w:pPr>
    </w:p>
    <w:p>
      <w:pPr>
        <w:jc w:val="both"/>
        <w:ind w:left="780" w:right="1260" w:firstLine="54"/>
        <w:spacing w:after="0" w:line="245" w:lineRule="auto"/>
        <w:rPr>
          <w:sz w:val="20"/>
          <w:szCs w:val="20"/>
          <w:color w:val="auto"/>
        </w:rPr>
      </w:pPr>
      <w:r>
        <w:rPr>
          <w:sz w:val="1"/>
          <w:szCs w:val="1"/>
          <w:color w:val="auto"/>
        </w:rPr>
        <w:drawing>
          <wp:inline distT="0" distB="0" distL="0" distR="0">
            <wp:extent cx="111125" cy="1111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69" w:lineRule="exact"/>
        <w:rPr>
          <w:sz w:val="24"/>
          <w:szCs w:val="24"/>
          <w:color w:val="auto"/>
        </w:rPr>
      </w:pPr>
    </w:p>
    <w:p>
      <w:pPr>
        <w:ind w:right="180"/>
        <w:spacing w:after="0" w:line="256" w:lineRule="auto"/>
        <w:rPr>
          <w:sz w:val="20"/>
          <w:szCs w:val="20"/>
          <w:color w:val="auto"/>
        </w:rPr>
      </w:pPr>
      <w:r>
        <w:rPr>
          <w:rFonts w:ascii="Arial" w:cs="Arial" w:eastAsia="Arial" w:hAnsi="Arial"/>
          <w:sz w:val="18"/>
          <w:szCs w:val="18"/>
          <w:color w:val="auto"/>
        </w:rPr>
        <w:t xml:space="preserve">Pursuant to the requirements fo the Securities Exchange Act of 1934, </w:t>
      </w:r>
      <w:r>
        <w:rPr>
          <w:rFonts w:ascii="Times New Roman" w:cs="Times New Roman" w:eastAsia="Times New Roman" w:hAnsi="Times New Roman"/>
          <w:sz w:val="18"/>
          <w:szCs w:val="18"/>
          <w:color w:val="0000FF"/>
        </w:rPr>
        <w:t>NEW YORK STOCK EXCHANGE LLC</w:t>
      </w:r>
      <w:r>
        <w:rPr>
          <w:rFonts w:ascii="Arial" w:cs="Arial" w:eastAsia="Arial" w:hAnsi="Arial"/>
          <w:sz w:val="18"/>
          <w:szCs w:val="18"/>
          <w:color w:val="auto"/>
        </w:rPr>
        <w:t xml:space="preserve"> certifies that it has reasonable grounds to believe that it meets all of the requirements for filing the Form 25 and has caused this notification to be signed on its behalf by the undersigned duly authorized person.</w:t>
      </w:r>
    </w:p>
    <w:p>
      <w:pPr>
        <w:spacing w:after="0" w:line="52" w:lineRule="exact"/>
        <w:rPr>
          <w:sz w:val="24"/>
          <w:szCs w:val="24"/>
          <w:color w:val="auto"/>
        </w:rPr>
      </w:pPr>
    </w:p>
    <w:tbl>
      <w:tblPr>
        <w:tblLayout w:type="fixed"/>
        <w:tblInd w:w="640" w:type="dxa"/>
        <w:tblCellMar>
          <w:top w:w="0" w:type="dxa"/>
          <w:left w:w="0" w:type="dxa"/>
          <w:bottom w:w="0" w:type="dxa"/>
          <w:right w:w="0" w:type="dxa"/>
        </w:tblCellMar>
      </w:tblPr>
      <w:tr>
        <w:trPr>
          <w:trHeight w:val="244"/>
        </w:trPr>
        <w:tc>
          <w:tcPr>
            <w:tcW w:w="206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0000FF"/>
              </w:rPr>
              <w:t>2026-06-15</w:t>
            </w:r>
          </w:p>
        </w:tc>
        <w:tc>
          <w:tcPr>
            <w:tcW w:w="1760" w:type="dxa"/>
            <w:vAlign w:val="bottom"/>
            <w:gridSpan w:val="2"/>
          </w:tcPr>
          <w:p>
            <w:pPr>
              <w:ind w:left="40"/>
              <w:spacing w:after="0"/>
              <w:rPr>
                <w:sz w:val="20"/>
                <w:szCs w:val="20"/>
                <w:color w:val="auto"/>
              </w:rPr>
            </w:pPr>
            <w:r>
              <w:rPr>
                <w:rFonts w:ascii="Arial" w:cs="Arial" w:eastAsia="Arial" w:hAnsi="Arial"/>
                <w:sz w:val="18"/>
                <w:szCs w:val="18"/>
                <w:color w:val="auto"/>
              </w:rPr>
              <w:t>By</w:t>
            </w:r>
          </w:p>
        </w:tc>
        <w:tc>
          <w:tcPr>
            <w:tcW w:w="258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Anthony Sozzi</w:t>
            </w:r>
          </w:p>
        </w:tc>
        <w:tc>
          <w:tcPr>
            <w:tcW w:w="260" w:type="dxa"/>
            <w:vAlign w:val="bottom"/>
          </w:tcPr>
          <w:p>
            <w:pPr>
              <w:spacing w:after="0"/>
              <w:rPr>
                <w:sz w:val="21"/>
                <w:szCs w:val="21"/>
                <w:color w:val="auto"/>
              </w:rPr>
            </w:pPr>
          </w:p>
        </w:tc>
        <w:tc>
          <w:tcPr>
            <w:tcW w:w="2080" w:type="dxa"/>
            <w:vAlign w:val="bottom"/>
          </w:tcPr>
          <w:p>
            <w:pPr>
              <w:ind w:left="220"/>
              <w:spacing w:after="0"/>
              <w:rPr>
                <w:sz w:val="20"/>
                <w:szCs w:val="20"/>
                <w:color w:val="auto"/>
              </w:rPr>
            </w:pPr>
            <w:r>
              <w:rPr>
                <w:rFonts w:ascii="Times New Roman" w:cs="Times New Roman" w:eastAsia="Times New Roman" w:hAnsi="Times New Roman"/>
                <w:sz w:val="18"/>
                <w:szCs w:val="18"/>
                <w:color w:val="0000FF"/>
              </w:rPr>
              <w:t>Analyst, Market Watch</w:t>
            </w:r>
          </w:p>
        </w:tc>
      </w:tr>
      <w:tr>
        <w:trPr>
          <w:trHeight w:val="252"/>
        </w:trPr>
        <w:tc>
          <w:tcPr>
            <w:tcW w:w="2060" w:type="dxa"/>
            <w:vAlign w:val="bottom"/>
            <w:tcBorders>
              <w:top w:val="single" w:sz="8" w:color="auto"/>
            </w:tcBorders>
          </w:tcPr>
          <w:p>
            <w:pPr>
              <w:jc w:val="right"/>
              <w:ind w:right="1572"/>
              <w:spacing w:after="0"/>
              <w:rPr>
                <w:sz w:val="20"/>
                <w:szCs w:val="20"/>
                <w:color w:val="auto"/>
              </w:rPr>
            </w:pPr>
            <w:r>
              <w:rPr>
                <w:rFonts w:ascii="Arial" w:cs="Arial" w:eastAsia="Arial" w:hAnsi="Arial"/>
                <w:sz w:val="18"/>
                <w:szCs w:val="18"/>
                <w:color w:val="auto"/>
                <w:w w:val="99"/>
              </w:rPr>
              <w:t>Date</w:t>
            </w:r>
          </w:p>
        </w:tc>
        <w:tc>
          <w:tcPr>
            <w:tcW w:w="940" w:type="dxa"/>
            <w:vAlign w:val="bottom"/>
          </w:tcPr>
          <w:p>
            <w:pPr>
              <w:spacing w:after="0"/>
              <w:rPr>
                <w:sz w:val="21"/>
                <w:szCs w:val="21"/>
                <w:color w:val="auto"/>
              </w:rPr>
            </w:pPr>
          </w:p>
        </w:tc>
        <w:tc>
          <w:tcPr>
            <w:tcW w:w="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258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0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Title</w:t>
            </w:r>
          </w:p>
        </w:tc>
      </w:tr>
    </w:tbl>
    <w:p>
      <w:pPr>
        <w:spacing w:after="0" w:line="107" w:lineRule="exact"/>
        <w:rPr>
          <w:sz w:val="24"/>
          <w:szCs w:val="24"/>
          <w:color w:val="auto"/>
        </w:rPr>
      </w:pPr>
    </w:p>
    <w:p>
      <w:pPr>
        <w:ind w:left="1260" w:right="700" w:hanging="597"/>
        <w:spacing w:after="0" w:line="261" w:lineRule="auto"/>
        <w:tabs>
          <w:tab w:leader="none" w:pos="12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Form 25 and attached Notice will be considered compliance with the provisions of 17 CFR 240.19d-1 as applicable. </w:t>
      </w:r>
      <w:r>
        <w:rPr>
          <w:rFonts w:ascii="Arial" w:cs="Arial" w:eastAsia="Arial" w:hAnsi="Arial"/>
          <w:sz w:val="18"/>
          <w:szCs w:val="18"/>
          <w:u w:val="single" w:color="auto"/>
          <w:color w:val="0000EE"/>
        </w:rPr>
        <w:t>See</w:t>
      </w:r>
      <w:r>
        <w:rPr>
          <w:rFonts w:ascii="Arial" w:cs="Arial" w:eastAsia="Arial" w:hAnsi="Arial"/>
          <w:sz w:val="18"/>
          <w:szCs w:val="18"/>
          <w:color w:val="auto"/>
        </w:rPr>
        <w:t xml:space="preserve"> General Instructions.</w:t>
      </w:r>
    </w:p>
    <w:p>
      <w:pPr>
        <w:spacing w:after="0" w:line="47" w:lineRule="exact"/>
        <w:rPr>
          <w:sz w:val="24"/>
          <w:szCs w:val="24"/>
          <w:color w:val="auto"/>
        </w:rPr>
      </w:pPr>
    </w:p>
    <w:p>
      <w:pPr>
        <w:spacing w:after="0"/>
        <w:rPr>
          <w:sz w:val="20"/>
          <w:szCs w:val="20"/>
          <w:color w:val="auto"/>
        </w:rPr>
      </w:pPr>
      <w:r>
        <w:rPr>
          <w:rFonts w:ascii="Arial" w:cs="Arial" w:eastAsia="Arial" w:hAnsi="Arial"/>
          <w:sz w:val="12"/>
          <w:szCs w:val="1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268" w:right="959" w:bottom="1440" w:gutter="0" w:footer="0" w:header="0"/>
          <w:type w:val="continuous"/>
        </w:sectPr>
      </w:pPr>
    </w:p>
    <w:bookmarkStart w:id="1" w:name="page2"/>
    <w:bookmarkEnd w:id="1"/>
    <w:p>
      <w:pPr>
        <w:spacing w:after="0" w:line="235" w:lineRule="auto"/>
        <w:rPr>
          <w:sz w:val="20"/>
          <w:szCs w:val="20"/>
          <w:color w:val="auto"/>
        </w:rPr>
      </w:pPr>
      <w:r>
        <w:rPr>
          <w:rFonts w:ascii="Times New Roman" w:cs="Times New Roman" w:eastAsia="Times New Roman" w:hAnsi="Times New Roman"/>
          <w:sz w:val="22"/>
          <w:szCs w:val="22"/>
          <w:color w:val="auto"/>
        </w:rPr>
        <w:t>NOTIFICATION OF THE REMOVAL FROM LISTING AND REGISTRATION OF THE STATED SECURITIES The New York Stock Exchange hereby notifies the SEC of its intention to remove the entire class of the stated securities from listing and registration on the Exchange at the opening of business on June 26, 2026, pursuant to the provisions of Rule 12d2-2 (a). [ X ] 17 CFR 240.12d2-2(a)(1) That the entire class of this security was called for redemption, maturity or retirement on June 15, 2026; appropriate notice thereof was given; funds sufficient for the payment of all such securities were deposited with an agency authorized to make such payment; and such funds were made available to security holders on June 15, 2026. The Exchange also notifies the Securities and Exchange Commission that as a result of the above indicated conditions this security was suspended from trading on June 15, 2026.</w:t>
      </w:r>
    </w:p>
    <w:sectPr>
      <w:pgSz w:w="11900" w:h="16838" w:orient="portrait"/>
      <w:cols w:equalWidth="0" w:num="1">
        <w:col w:w="11100"/>
      </w:cols>
      <w:pgMar w:left="320" w:top="111"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0" Type="http://schemas.openxmlformats.org/officeDocument/2006/relationships/hyperlink" Target="http://www.sec.gov/cgi-bin/browse-edgar?action=getcompany&amp;CIK=001-11848" TargetMode="External"/><Relationship Id="rId11" Type="http://schemas.openxmlformats.org/officeDocument/2006/relationships/hyperlink" Target="http://www.sec.gov/cgi-bin/browse-edgar?action=getcompany&amp;CIK=00008981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2026-06-15T10:39:47Z</dcterms:created>
  <dcterms:modified xsi:type="dcterms:W3CDTF">2026-06-15T10:39:47Z</dcterms:modified>
</cp:coreProperties>
</file>