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30" w:lineRule="exact"/>
        <w:rPr>
          <w:sz w:val="24"/>
          <w:szCs w:val="24"/>
          <w:color w:val="auto"/>
        </w:rPr>
      </w:pPr>
    </w:p>
    <w:p>
      <w:pPr>
        <w:ind w:left="7920"/>
        <w:spacing w:after="0"/>
        <w:rPr>
          <w:sz w:val="20"/>
          <w:szCs w:val="20"/>
          <w:color w:val="auto"/>
        </w:rPr>
      </w:pPr>
      <w:r>
        <w:rPr>
          <w:rFonts w:ascii="Times New Roman" w:cs="Times New Roman" w:eastAsia="Times New Roman" w:hAnsi="Times New Roman"/>
          <w:sz w:val="18"/>
          <w:szCs w:val="18"/>
          <w:b w:val="1"/>
          <w:bCs w:val="1"/>
          <w:color w:val="auto"/>
        </w:rPr>
        <w:t xml:space="preserve">Registration Statement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9"/>
          <w:szCs w:val="39"/>
          <w:b w:val="1"/>
          <w:bCs w:val="1"/>
          <w:color w:val="auto"/>
        </w:rPr>
        <w:t>REINSURANCE GROUP OF AMERICA, INCORPORATED</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820" w:type="dxa"/>
        <w:tblCellMar>
          <w:top w:w="0" w:type="dxa"/>
          <w:left w:w="0" w:type="dxa"/>
          <w:bottom w:w="0" w:type="dxa"/>
          <w:right w:w="0" w:type="dxa"/>
        </w:tblCellMar>
      </w:tblPr>
      <w:tr>
        <w:trPr>
          <w:trHeight w:val="211"/>
        </w:trPr>
        <w:tc>
          <w:tcPr>
            <w:tcW w:w="3860" w:type="dxa"/>
            <w:vAlign w:val="bottom"/>
          </w:tcPr>
          <w:p>
            <w:pPr>
              <w:jc w:val="center"/>
              <w:ind w:right="1943"/>
              <w:spacing w:after="0"/>
              <w:rPr>
                <w:sz w:val="20"/>
                <w:szCs w:val="20"/>
                <w:color w:val="auto"/>
              </w:rPr>
            </w:pPr>
            <w:r>
              <w:rPr>
                <w:rFonts w:ascii="Times New Roman" w:cs="Times New Roman" w:eastAsia="Times New Roman" w:hAnsi="Times New Roman"/>
                <w:sz w:val="18"/>
                <w:szCs w:val="18"/>
                <w:b w:val="1"/>
                <w:bCs w:val="1"/>
                <w:color w:val="auto"/>
                <w:w w:val="99"/>
              </w:rPr>
              <w:t>Missouri</w:t>
            </w:r>
          </w:p>
        </w:tc>
        <w:tc>
          <w:tcPr>
            <w:tcW w:w="3120" w:type="dxa"/>
            <w:vAlign w:val="bottom"/>
          </w:tcPr>
          <w:p>
            <w:pPr>
              <w:jc w:val="center"/>
              <w:ind w:left="1943"/>
              <w:spacing w:after="0"/>
              <w:rPr>
                <w:sz w:val="20"/>
                <w:szCs w:val="20"/>
                <w:color w:val="auto"/>
              </w:rPr>
            </w:pPr>
            <w:r>
              <w:rPr>
                <w:rFonts w:ascii="Times New Roman" w:cs="Times New Roman" w:eastAsia="Times New Roman" w:hAnsi="Times New Roman"/>
                <w:sz w:val="18"/>
                <w:szCs w:val="18"/>
                <w:b w:val="1"/>
                <w:bCs w:val="1"/>
                <w:color w:val="auto"/>
                <w:w w:val="98"/>
              </w:rPr>
              <w:t>46-1627032</w:t>
            </w:r>
          </w:p>
        </w:tc>
      </w:tr>
      <w:tr>
        <w:trPr>
          <w:trHeight w:val="147"/>
        </w:trPr>
        <w:tc>
          <w:tcPr>
            <w:tcW w:w="3860" w:type="dxa"/>
            <w:vAlign w:val="bottom"/>
          </w:tcPr>
          <w:p>
            <w:pPr>
              <w:jc w:val="center"/>
              <w:ind w:right="1923"/>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43"/>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860" w:type="dxa"/>
            <w:vAlign w:val="bottom"/>
          </w:tcPr>
          <w:p>
            <w:pPr>
              <w:jc w:val="center"/>
              <w:ind w:right="192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4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227965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16600 Swingley Ridge Road</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Chesterfield, Missouri 63017-1706</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215900</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Reinsurance Group of America, Incorporated</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 Employee Stock Purchase Plan</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215900</wp:posOffset>
            </wp:positionV>
            <wp:extent cx="145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My Chi To</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Officer</w:t>
      </w:r>
    </w:p>
    <w:p>
      <w:pPr>
        <w:spacing w:after="0" w:line="7" w:lineRule="exact"/>
        <w:rPr>
          <w:sz w:val="24"/>
          <w:szCs w:val="24"/>
          <w:color w:val="auto"/>
        </w:rPr>
      </w:pPr>
    </w:p>
    <w:p>
      <w:pPr>
        <w:ind w:left="3700" w:right="3660" w:firstLine="866"/>
        <w:spacing w:after="0" w:line="262" w:lineRule="auto"/>
        <w:tabs>
          <w:tab w:leader="none" w:pos="4756"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Corporate Secretary Reinsurance Group of America, Incorporated</w:t>
      </w:r>
    </w:p>
    <w:p>
      <w:pPr>
        <w:ind w:left="43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16600 Swingley Ridge Road</w:t>
      </w:r>
    </w:p>
    <w:p>
      <w:pPr>
        <w:spacing w:after="0" w:line="6" w:lineRule="exact"/>
        <w:rPr>
          <w:rFonts w:ascii="Times New Roman" w:cs="Times New Roman" w:eastAsia="Times New Roman" w:hAnsi="Times New Roman"/>
          <w:sz w:val="17"/>
          <w:szCs w:val="17"/>
          <w:b w:val="1"/>
          <w:bCs w:val="1"/>
          <w:color w:val="auto"/>
        </w:rPr>
      </w:pPr>
    </w:p>
    <w:p>
      <w:pPr>
        <w:ind w:left="41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Chesterfield, Missouri 63017-1706</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(636)-736-7000</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202565</wp:posOffset>
            </wp:positionV>
            <wp:extent cx="1450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right="100" w:firstLine="436"/>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Plan Information.</w:t>
      </w:r>
    </w:p>
    <w:p>
      <w:pPr>
        <w:spacing w:after="0" w:line="118" w:lineRule="exact"/>
        <w:rPr>
          <w:sz w:val="20"/>
          <w:szCs w:val="20"/>
          <w:color w:val="auto"/>
        </w:rPr>
      </w:pPr>
    </w:p>
    <w:p>
      <w:pPr>
        <w:ind w:right="240" w:firstLine="436"/>
        <w:spacing w:after="0" w:line="277" w:lineRule="auto"/>
        <w:rPr>
          <w:sz w:val="20"/>
          <w:szCs w:val="20"/>
          <w:color w:val="auto"/>
        </w:rPr>
      </w:pPr>
      <w:r>
        <w:rPr>
          <w:rFonts w:ascii="Times New Roman" w:cs="Times New Roman" w:eastAsia="Times New Roman" w:hAnsi="Times New Roman"/>
          <w:sz w:val="17"/>
          <w:szCs w:val="17"/>
          <w:color w:val="auto"/>
        </w:rPr>
        <w:t>The documents containing the information specified in Part I, Item 1 and Part I, Item 2 of Form S-8 will be sent or given to participants as specified in Rule 428(b)(1) under the Securities Act of 1933, as amended (the “Securities Act”). In accordance with the rules and regulations of the Securities and Exchange Commission (the “Commission”) and the instructions to Part I of Form S-8, such documents are not being filed with the Commission either as part of this Registration Statement or as prospectuses or prospectus supplements pursuant to Rule 424 under the Securities Act.</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18" w:lineRule="exact"/>
        <w:rPr>
          <w:sz w:val="20"/>
          <w:szCs w:val="20"/>
          <w:color w:val="auto"/>
        </w:rPr>
      </w:pPr>
    </w:p>
    <w:p>
      <w:pPr>
        <w:ind w:right="240" w:firstLine="436"/>
        <w:spacing w:after="0" w:line="277" w:lineRule="auto"/>
        <w:rPr>
          <w:sz w:val="20"/>
          <w:szCs w:val="20"/>
          <w:color w:val="auto"/>
        </w:rPr>
      </w:pPr>
      <w:r>
        <w:rPr>
          <w:rFonts w:ascii="Times New Roman" w:cs="Times New Roman" w:eastAsia="Times New Roman" w:hAnsi="Times New Roman"/>
          <w:sz w:val="18"/>
          <w:szCs w:val="18"/>
          <w:color w:val="auto"/>
        </w:rPr>
        <w:t>Reinsurance Group of America, Incorporated (the “Registrant”) hereby incorporates by reference into this Registration Statement the following documents of the Registrant:</w:t>
      </w:r>
    </w:p>
    <w:p>
      <w:pPr>
        <w:spacing w:after="0" w:line="70" w:lineRule="exact"/>
        <w:rPr>
          <w:sz w:val="20"/>
          <w:szCs w:val="20"/>
          <w:color w:val="auto"/>
        </w:rPr>
      </w:pPr>
    </w:p>
    <w:p>
      <w:pPr>
        <w:ind w:left="960" w:right="260" w:hanging="432"/>
        <w:spacing w:after="0" w:line="277"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2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Commission on February 20, 2026 (the “2025 Form 10-K”);</w:t>
      </w:r>
    </w:p>
    <w:p>
      <w:pPr>
        <w:spacing w:after="0" w:line="69" w:lineRule="exact"/>
        <w:rPr>
          <w:rFonts w:ascii="Times New Roman" w:cs="Times New Roman" w:eastAsia="Times New Roman" w:hAnsi="Times New Roman"/>
          <w:sz w:val="18"/>
          <w:szCs w:val="18"/>
          <w:color w:val="auto"/>
        </w:rPr>
      </w:pPr>
    </w:p>
    <w:p>
      <w:pPr>
        <w:ind w:left="960" w:hanging="4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2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Commission on May 8, 2026;</w:t>
      </w:r>
    </w:p>
    <w:p>
      <w:pPr>
        <w:spacing w:after="0" w:line="126" w:lineRule="exact"/>
        <w:rPr>
          <w:rFonts w:ascii="Times New Roman" w:cs="Times New Roman" w:eastAsia="Times New Roman" w:hAnsi="Times New Roman"/>
          <w:sz w:val="18"/>
          <w:szCs w:val="18"/>
          <w:color w:val="auto"/>
        </w:rPr>
      </w:pPr>
    </w:p>
    <w:p>
      <w:pPr>
        <w:ind w:left="960" w:right="80" w:hanging="432"/>
        <w:spacing w:after="0" w:line="277"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portions of the Registrant’s </w:t>
      </w:r>
      <w:hyperlink r:id="rId23">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Commission on April 9, 2026 that are incorporated by reference into Part III of the 2025 Form 10-K;</w:t>
      </w:r>
    </w:p>
    <w:p>
      <w:pPr>
        <w:spacing w:after="0" w:line="69" w:lineRule="exact"/>
        <w:rPr>
          <w:rFonts w:ascii="Times New Roman" w:cs="Times New Roman" w:eastAsia="Times New Roman" w:hAnsi="Times New Roman"/>
          <w:sz w:val="18"/>
          <w:szCs w:val="18"/>
          <w:color w:val="auto"/>
        </w:rPr>
      </w:pPr>
    </w:p>
    <w:p>
      <w:pPr>
        <w:ind w:left="960" w:right="120" w:hanging="432"/>
        <w:spacing w:after="0" w:line="277" w:lineRule="auto"/>
        <w:tabs>
          <w:tab w:leader="none" w:pos="960" w:val="left"/>
        </w:tabs>
        <w:numPr>
          <w:ilvl w:val="0"/>
          <w:numId w:val="2"/>
        </w:numPr>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auto"/>
          </w:rPr>
          <w:t xml:space="preserve">The Registrant’s Current Reports on Form 8-K filed with the Commission on </w:t>
        </w:r>
        <w:r>
          <w:rPr>
            <w:rFonts w:ascii="Times New Roman" w:cs="Times New Roman" w:eastAsia="Times New Roman" w:hAnsi="Times New Roman"/>
            <w:sz w:val="18"/>
            <w:szCs w:val="18"/>
            <w:u w:val="single" w:color="auto"/>
            <w:color w:val="0000EE"/>
          </w:rPr>
          <w:t>March 3,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5">
        <w:r>
          <w:rPr>
            <w:rFonts w:ascii="Times New Roman" w:cs="Times New Roman" w:eastAsia="Times New Roman" w:hAnsi="Times New Roman"/>
            <w:sz w:val="18"/>
            <w:szCs w:val="18"/>
            <w:u w:val="single" w:color="auto"/>
            <w:color w:val="0000EE"/>
          </w:rPr>
          <w:t>May 21, 2026</w:t>
        </w:r>
      </w:hyperlink>
      <w:hyperlink r:id="rId24">
        <w:r>
          <w:rPr>
            <w:rFonts w:ascii="Times New Roman" w:cs="Times New Roman" w:eastAsia="Times New Roman" w:hAnsi="Times New Roman"/>
            <w:sz w:val="18"/>
            <w:szCs w:val="18"/>
            <w:color w:val="000000"/>
          </w:rPr>
          <w:t>; and</w:t>
        </w:r>
      </w:hyperlink>
    </w:p>
    <w:p>
      <w:pPr>
        <w:spacing w:after="0" w:line="69" w:lineRule="exact"/>
        <w:rPr>
          <w:rFonts w:ascii="Times New Roman" w:cs="Times New Roman" w:eastAsia="Times New Roman" w:hAnsi="Times New Roman"/>
          <w:sz w:val="18"/>
          <w:szCs w:val="18"/>
          <w:color w:val="0000EE"/>
        </w:rPr>
      </w:pPr>
    </w:p>
    <w:p>
      <w:pPr>
        <w:jc w:val="both"/>
        <w:ind w:left="960" w:right="80" w:hanging="432"/>
        <w:spacing w:after="0" w:line="26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w:t>
      </w:r>
      <w:hyperlink r:id="rId26">
        <w:r>
          <w:rPr>
            <w:rFonts w:ascii="Times New Roman" w:cs="Times New Roman" w:eastAsia="Times New Roman" w:hAnsi="Times New Roman"/>
            <w:sz w:val="18"/>
            <w:szCs w:val="18"/>
            <w:u w:val="single" w:color="auto"/>
            <w:color w:val="0000EE"/>
          </w:rPr>
          <w:t>Exhibit 4.11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Registrant’s Annual Report on Form 10-K for the fiscal year ended December 31, 2022, filed with the Commission on February 24, 2023, and including any other amendments or reports filed for the purpose of updating such description.</w:t>
      </w:r>
    </w:p>
    <w:p>
      <w:pPr>
        <w:spacing w:after="0" w:line="177" w:lineRule="exact"/>
        <w:rPr>
          <w:rFonts w:ascii="Times New Roman" w:cs="Times New Roman" w:eastAsia="Times New Roman" w:hAnsi="Times New Roman"/>
          <w:sz w:val="18"/>
          <w:szCs w:val="18"/>
          <w:color w:val="0000EE"/>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Securities Exchange Act of 1934, as amended (the “Exchange Act”) subsequent to the effective date of this Registration Statement, but prior to the filing of a post-effective amendment to this Registration Statement indicating that all securities offered hereby have been sold or de-registering all securities then remaining unsold, shall be deemed to be incorporated by reference herein and to be a part hereof from the date of filing of such documents (other than the portions of those documents not deemed to be filed). Notwithstanding the foregoing, unless specifically stated to the contrary, none of the information that the Registrant discloses under Items 2.02 or 7.01 of any Current Report on Form 8-K that it may from time to time furnish to the Commission will be incorporated by reference into, or otherwise included in, this Registration Statement.</w:t>
      </w:r>
    </w:p>
    <w:p>
      <w:pPr>
        <w:spacing w:after="0" w:line="189" w:lineRule="exact"/>
        <w:rPr>
          <w:rFonts w:ascii="Times New Roman" w:cs="Times New Roman" w:eastAsia="Times New Roman" w:hAnsi="Times New Roman"/>
          <w:sz w:val="18"/>
          <w:szCs w:val="18"/>
          <w:color w:val="0000EE"/>
        </w:rPr>
      </w:pPr>
    </w:p>
    <w:p>
      <w:pPr>
        <w:ind w:right="20" w:firstLine="436"/>
        <w:spacing w:after="0" w:line="262"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herein by reference shall be deemed to be modified or superseded for purposes of this Registration Statement to the extent that a statement contained herein or in any other subsequently filed document which also is or is deemed to be incorporated herein by reference modifies or supersedes such statement.</w:t>
      </w:r>
    </w:p>
    <w:p>
      <w:pPr>
        <w:spacing w:after="0" w:line="320" w:lineRule="exact"/>
        <w:rPr>
          <w:rFonts w:ascii="Times New Roman" w:cs="Times New Roman" w:eastAsia="Times New Roman" w:hAnsi="Times New Roman"/>
          <w:sz w:val="18"/>
          <w:szCs w:val="18"/>
          <w:color w:val="0000EE"/>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Description of Securities.</w:t>
      </w:r>
    </w:p>
    <w:p>
      <w:pPr>
        <w:spacing w:after="0" w:line="118" w:lineRule="exact"/>
        <w:rPr>
          <w:rFonts w:ascii="Times New Roman" w:cs="Times New Roman" w:eastAsia="Times New Roman" w:hAnsi="Times New Roman"/>
          <w:sz w:val="18"/>
          <w:szCs w:val="18"/>
          <w:color w:val="0000EE"/>
        </w:rPr>
      </w:pPr>
    </w:p>
    <w:p>
      <w:pPr>
        <w:ind w:left="420"/>
        <w:spacing w:after="0"/>
        <w:rPr>
          <w:sz w:val="20"/>
          <w:szCs w:val="20"/>
          <w:color w:val="auto"/>
        </w:rPr>
      </w:pPr>
      <w:r>
        <w:rPr>
          <w:rFonts w:ascii="Times New Roman" w:cs="Times New Roman" w:eastAsia="Times New Roman" w:hAnsi="Times New Roman"/>
          <w:sz w:val="18"/>
          <w:szCs w:val="18"/>
          <w:color w:val="auto"/>
        </w:rPr>
        <w:t>The securities to be offered are registered under Section 12 of the Exchange Act.</w:t>
      </w:r>
    </w:p>
    <w:p>
      <w:pPr>
        <w:sectPr>
          <w:pgSz w:w="11900" w:h="16838" w:orient="portrait"/>
          <w:cols w:equalWidth="0" w:num="1">
            <w:col w:w="10880"/>
          </w:cols>
          <w:pgMar w:left="500" w:top="264" w:right="519" w:bottom="1440" w:gutter="0" w:footer="0" w:header="0"/>
        </w:sectPr>
      </w:pPr>
    </w:p>
    <w:p>
      <w:pPr>
        <w:spacing w:after="0" w:line="363"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br w:type="column"/>
      </w:r>
    </w:p>
    <w:p>
      <w:pPr>
        <w:spacing w:after="0" w:line="343"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7"/>
          <w:szCs w:val="17"/>
          <w:b w:val="1"/>
          <w:bCs w:val="1"/>
          <w:color w:val="auto"/>
        </w:rPr>
        <w:t>Interests of Named Experts and Counsel.</w:t>
      </w:r>
    </w:p>
    <w:p>
      <w:pPr>
        <w:spacing w:after="0" w:line="129" w:lineRule="exact"/>
        <w:rPr>
          <w:rFonts w:ascii="Times New Roman" w:cs="Times New Roman" w:eastAsia="Times New Roman" w:hAnsi="Times New Roman"/>
          <w:sz w:val="18"/>
          <w:szCs w:val="18"/>
          <w:color w:val="0000EE"/>
        </w:rPr>
      </w:pPr>
    </w:p>
    <w:p>
      <w:pPr>
        <w:sectPr>
          <w:pgSz w:w="11900" w:h="16838" w:orient="portrait"/>
          <w:cols w:equalWidth="0" w:num="2">
            <w:col w:w="520" w:space="440"/>
            <w:col w:w="9920"/>
          </w:cols>
          <w:pgMar w:left="500" w:top="264" w:right="519" w:bottom="1440" w:gutter="0" w:footer="0" w:header="0"/>
          <w:type w:val="continuous"/>
        </w:sectPr>
      </w:pPr>
    </w:p>
    <w:p>
      <w:pPr>
        <w:ind w:left="420"/>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0880"/>
          </w:cols>
          <w:pgMar w:left="500" w:top="264" w:right="519" w:bottom="1440" w:gutter="0" w:footer="0" w:header="0"/>
          <w:type w:val="continuous"/>
        </w:sectPr>
      </w:pPr>
    </w:p>
    <w:p>
      <w:pPr>
        <w:spacing w:after="0" w:line="375"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br w:type="column"/>
      </w:r>
    </w:p>
    <w:p>
      <w:pPr>
        <w:spacing w:after="0" w:line="355"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7"/>
          <w:szCs w:val="17"/>
          <w:b w:val="1"/>
          <w:bCs w:val="1"/>
          <w:color w:val="auto"/>
        </w:rPr>
        <w:t>Indemnification of Directors and Officers.</w:t>
      </w:r>
    </w:p>
    <w:p>
      <w:pPr>
        <w:spacing w:after="0" w:line="129" w:lineRule="exact"/>
        <w:rPr>
          <w:rFonts w:ascii="Times New Roman" w:cs="Times New Roman" w:eastAsia="Times New Roman" w:hAnsi="Times New Roman"/>
          <w:sz w:val="18"/>
          <w:szCs w:val="18"/>
          <w:color w:val="0000EE"/>
        </w:rPr>
      </w:pPr>
    </w:p>
    <w:p>
      <w:pPr>
        <w:sectPr>
          <w:pgSz w:w="11900" w:h="16838" w:orient="portrait"/>
          <w:cols w:equalWidth="0" w:num="2">
            <w:col w:w="520" w:space="440"/>
            <w:col w:w="9920"/>
          </w:cols>
          <w:pgMar w:left="500" w:top="264" w:right="519" w:bottom="1440" w:gutter="0" w:footer="0" w:header="0"/>
          <w:type w:val="continuous"/>
        </w:sectPr>
      </w:pPr>
    </w:p>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t>Section 351.355(1) of the Revised Statutes of Missouri provides that a corporation may indemnify a director, officer, employee or agent of the corporation in any action, suit or proceeding other than an action by or in the right of the corporation, against expenses (including attorneys’ fees), judgments, fines and settlement amounts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ectPr>
          <w:pgSz w:w="11900" w:h="16838" w:orient="portrait"/>
          <w:cols w:equalWidth="0" w:num="1">
            <w:col w:w="10880"/>
          </w:cols>
          <w:pgMar w:left="500" w:top="264" w:right="519" w:bottom="1440" w:gutter="0" w:footer="0" w:header="0"/>
          <w:type w:val="continuous"/>
        </w:sectPr>
      </w:pPr>
    </w:p>
    <w:bookmarkStart w:id="2" w:name="page3"/>
    <w:bookmarkEnd w:id="2"/>
    <w:p>
      <w:pPr>
        <w:ind w:left="6" w:right="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351.355(2) provides that the corporation may indemnify any such person in any action or suit by or in the right of the corporation against expenses (including attorneys’ fees) and settlement amounts actually and reasonably incurred by him or her in connection with the defense or settlement of the action or suit if he or she acted in good faith and in a manner he or she reasonably believed to be in or not opposed to the best interests of the corporation, except that he or she may not be indemnified in respect of any claim, issue or matter in which he or she has been adjudged liable for negligence or misconduct in the performance of his or her duty to the corporation, unless and only to the extent authorized by the court.</w:t>
      </w:r>
    </w:p>
    <w:p>
      <w:pPr>
        <w:spacing w:after="0" w:line="1" w:lineRule="exact"/>
        <w:rPr>
          <w:sz w:val="20"/>
          <w:szCs w:val="20"/>
          <w:color w:val="auto"/>
        </w:rPr>
      </w:pPr>
    </w:p>
    <w:p>
      <w:pPr>
        <w:ind w:left="6"/>
        <w:spacing w:after="0" w:line="248" w:lineRule="auto"/>
        <w:rPr>
          <w:sz w:val="20"/>
          <w:szCs w:val="20"/>
          <w:color w:val="auto"/>
        </w:rPr>
      </w:pPr>
      <w:r>
        <w:rPr>
          <w:rFonts w:ascii="Times New Roman" w:cs="Times New Roman" w:eastAsia="Times New Roman" w:hAnsi="Times New Roman"/>
          <w:sz w:val="18"/>
          <w:szCs w:val="18"/>
          <w:color w:val="auto"/>
        </w:rPr>
        <w:t>Section 351.355(3) provides that, except as otherwise provided in a corporation’s articles of incorporation or by-laws, a corporation shall indemnify any such person against expenses (including attorneys’ fees) actually and reasonably incurred by him or her in connection with the action, suit or proceeding if he or she has been successful in defense of such action, suit or proceeding and if such action, suit or proceeding is one for which the corporation may indemnify him or her under Section 351.355(1) or (2). Section 351.355(7) provides that a corporation shall have the power to give any further indemnity to any such person, in addition to the indemnity otherwise authorized under the other subsections of Section 351.355, provided such further indemnity is either (i) authorized, directed or provided for in the articles of incorporation of the corporation or any duly adopted amendment thereof or (ii) is authorized, directed or provided for in any by-law or agreement of the corporation which has been adopted by a vote of the shareholders of the corporation, and provided that no such indemnity shall indemnify any person from or on account of such person’s conduct which was finally adjudged to have been knowingly fraudulent, deliberately dishonest or willful misconduct.</w:t>
      </w:r>
    </w:p>
    <w:p>
      <w:pPr>
        <w:spacing w:after="0" w:line="193" w:lineRule="exact"/>
        <w:rPr>
          <w:sz w:val="20"/>
          <w:szCs w:val="20"/>
          <w:color w:val="auto"/>
        </w:rPr>
      </w:pPr>
    </w:p>
    <w:p>
      <w:pPr>
        <w:ind w:left="6" w:firstLine="436"/>
        <w:spacing w:after="0" w:line="251" w:lineRule="auto"/>
        <w:rPr>
          <w:sz w:val="20"/>
          <w:szCs w:val="20"/>
          <w:color w:val="auto"/>
        </w:rPr>
      </w:pPr>
      <w:r>
        <w:rPr>
          <w:rFonts w:ascii="Times New Roman" w:cs="Times New Roman" w:eastAsia="Times New Roman" w:hAnsi="Times New Roman"/>
          <w:sz w:val="18"/>
          <w:szCs w:val="18"/>
          <w:color w:val="auto"/>
        </w:rPr>
        <w:t>As permitted by Section 351.355, the Amended and Restated Articles of Incorporation of the Registrant filed as Exhibit 4.1 to this Registration Statement contain provisions indemnifying its directors, officers, employees and agents in accordance with applicable law. In certain circumstances, the directors and officers are entitled to indemnification to the maximum extent permitted by applicable law. The Registrant has entered into indemnification contracts with the officers and directors of the Registrant. The contracts provide that the Registrant under certain circumstances may self-insure against directors’ and officers’ liabilities now insured under the policy of insurance referred to below and will provide indemnity to the fullest extent permitted by law against all expenses (including attorneys’ fees), judgments, fines and settlement amounts, paid or incurred in any action or proceeding, including any act on behalf of the Registrant, on account of their service as directors or officers of the Registrant, any subsidiary of the Registrant or any other company or enterprise when they are serving in such capacities at the request of the Registrant, excepting only cases where the conduct of such person is adjudged to be knowingly fraudulent, deliberately dishonest or willful misconduct.</w:t>
      </w:r>
    </w:p>
    <w:p>
      <w:pPr>
        <w:spacing w:after="0" w:line="189" w:lineRule="exact"/>
        <w:rPr>
          <w:sz w:val="20"/>
          <w:szCs w:val="20"/>
          <w:color w:val="auto"/>
        </w:rPr>
      </w:pPr>
    </w:p>
    <w:p>
      <w:pPr>
        <w:ind w:left="6" w:right="360" w:firstLine="436"/>
        <w:spacing w:after="0" w:line="277" w:lineRule="auto"/>
        <w:rPr>
          <w:sz w:val="20"/>
          <w:szCs w:val="20"/>
          <w:color w:val="auto"/>
        </w:rPr>
      </w:pPr>
      <w:r>
        <w:rPr>
          <w:rFonts w:ascii="Times New Roman" w:cs="Times New Roman" w:eastAsia="Times New Roman" w:hAnsi="Times New Roman"/>
          <w:sz w:val="18"/>
          <w:szCs w:val="18"/>
          <w:color w:val="auto"/>
        </w:rPr>
        <w:t>The Registrant’s Amended and Restated Articles of Incorporation limit the liability of the Registrant’s directors to the Registrant or any of the Registrant’s shareholders for monetary damages for breach of fiduciary duty as a director to the fullest extent permitted under Missouri law.</w:t>
      </w:r>
    </w:p>
    <w:p>
      <w:pPr>
        <w:spacing w:after="0" w:line="163" w:lineRule="exact"/>
        <w:rPr>
          <w:sz w:val="20"/>
          <w:szCs w:val="20"/>
          <w:color w:val="auto"/>
        </w:rPr>
      </w:pPr>
    </w:p>
    <w:p>
      <w:pPr>
        <w:ind w:left="6" w:right="20" w:firstLine="436"/>
        <w:spacing w:after="0" w:line="262" w:lineRule="auto"/>
        <w:rPr>
          <w:sz w:val="20"/>
          <w:szCs w:val="20"/>
          <w:color w:val="auto"/>
        </w:rPr>
      </w:pPr>
      <w:r>
        <w:rPr>
          <w:rFonts w:ascii="Times New Roman" w:cs="Times New Roman" w:eastAsia="Times New Roman" w:hAnsi="Times New Roman"/>
          <w:sz w:val="18"/>
          <w:szCs w:val="18"/>
          <w:color w:val="auto"/>
        </w:rPr>
        <w:t>The Registrant maintains a policy of insurance under which the directors and officers are insured, subject to the limits of the policy, against certain losses, as defined in the policy, arising from claims made against such directors and officers by reason of any wrongful acts, as defined in the policy, in their respective capacities as directors or officers.</w:t>
      </w:r>
    </w:p>
    <w:p>
      <w:pPr>
        <w:spacing w:after="0" w:line="320" w:lineRule="exact"/>
        <w:rPr>
          <w:sz w:val="20"/>
          <w:szCs w:val="20"/>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Exemption From Registration Claimed.</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Not applicable.</w:t>
      </w:r>
    </w:p>
    <w:p>
      <w:pPr>
        <w:spacing w:after="0" w:line="363" w:lineRule="exact"/>
        <w:rPr>
          <w:sz w:val="20"/>
          <w:szCs w:val="20"/>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45" w:lineRule="exact"/>
        <w:rPr>
          <w:sz w:val="20"/>
          <w:szCs w:val="20"/>
          <w:color w:val="auto"/>
        </w:rPr>
      </w:pPr>
    </w:p>
    <w:p>
      <w:pPr>
        <w:ind w:left="26"/>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p>
      <w:pPr>
        <w:spacing w:after="0" w:line="94" w:lineRule="exact"/>
        <w:rPr>
          <w:sz w:val="20"/>
          <w:szCs w:val="20"/>
          <w:color w:val="auto"/>
        </w:rPr>
      </w:pPr>
    </w:p>
    <w:p>
      <w:pPr>
        <w:ind w:left="926" w:right="360" w:hanging="926"/>
        <w:spacing w:after="0" w:line="277" w:lineRule="auto"/>
        <w:tabs>
          <w:tab w:leader="none" w:pos="93"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4.1</w:t>
      </w:r>
      <w:hyperlink r:id="rId28">
        <w:r>
          <w:rPr>
            <w:rFonts w:ascii="Times New Roman" w:cs="Times New Roman" w:eastAsia="Times New Roman" w:hAnsi="Times New Roman"/>
            <w:sz w:val="18"/>
            <w:szCs w:val="18"/>
            <w:u w:val="single" w:color="auto"/>
            <w:color w:val="0000EE"/>
          </w:rPr>
          <w:t>Amended and Restated Articles of Incorporation of Reinsurance Group of America, Incorporated (incorporated by reference to Exhibit</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3.1(i) to the Registrant’s Current Report on Form 8-K, filed with the Commission on May 22, 2020).</w:t>
        </w:r>
      </w:hyperlink>
    </w:p>
    <w:p>
      <w:pPr>
        <w:spacing w:after="0" w:line="56" w:lineRule="exact"/>
        <w:rPr>
          <w:rFonts w:ascii="Times New Roman" w:cs="Times New Roman" w:eastAsia="Times New Roman" w:hAnsi="Times New Roman"/>
          <w:sz w:val="18"/>
          <w:szCs w:val="18"/>
          <w:u w:val="single" w:color="auto"/>
          <w:color w:val="0000EE"/>
        </w:rPr>
      </w:pPr>
    </w:p>
    <w:p>
      <w:pPr>
        <w:ind w:left="926" w:right="900" w:hanging="926"/>
        <w:spacing w:after="0" w:line="277" w:lineRule="auto"/>
        <w:tabs>
          <w:tab w:leader="none" w:pos="93"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4.2</w:t>
      </w:r>
      <w:hyperlink r:id="rId29">
        <w:r>
          <w:rPr>
            <w:rFonts w:ascii="Times New Roman" w:cs="Times New Roman" w:eastAsia="Times New Roman" w:hAnsi="Times New Roman"/>
            <w:sz w:val="18"/>
            <w:szCs w:val="18"/>
            <w:u w:val="single" w:color="auto"/>
            <w:color w:val="0000EE"/>
          </w:rPr>
          <w:t>Amended and Restated Bylaws of Reinsurance Group of America, Incorporated (incorporated by reference to Exhibit 3.1 to the</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Registrant’s Current Report on Form 8-K, filed with the Commission on December 20, 2022).</w:t>
        </w:r>
      </w:hyperlink>
    </w:p>
    <w:p>
      <w:pPr>
        <w:spacing w:after="0" w:line="56" w:lineRule="exact"/>
        <w:rPr>
          <w:rFonts w:ascii="Times New Roman" w:cs="Times New Roman" w:eastAsia="Times New Roman" w:hAnsi="Times New Roman"/>
          <w:sz w:val="18"/>
          <w:szCs w:val="18"/>
          <w:u w:val="single" w:color="auto"/>
          <w:color w:val="0000EE"/>
        </w:rPr>
      </w:pPr>
    </w:p>
    <w:p>
      <w:pPr>
        <w:ind w:left="926" w:right="120" w:hanging="926"/>
        <w:spacing w:after="0" w:line="277" w:lineRule="auto"/>
        <w:tabs>
          <w:tab w:leader="none" w:pos="93" w:val="left"/>
        </w:tabs>
        <w:numPr>
          <w:ilvl w:val="0"/>
          <w:numId w:val="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  4.3</w:t>
      </w:r>
      <w:hyperlink r:id="rId30">
        <w:r>
          <w:rPr>
            <w:rFonts w:ascii="Times New Roman" w:cs="Times New Roman" w:eastAsia="Times New Roman" w:hAnsi="Times New Roman"/>
            <w:sz w:val="18"/>
            <w:szCs w:val="18"/>
            <w:u w:val="single" w:color="auto"/>
            <w:color w:val="0000EE"/>
          </w:rPr>
          <w:t>Amended and Restated Reinsurance Group of America, Incorporated Employee Stock Purchase Plan (incorporated by reference to Exhibit</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10.1 to the Registrant’s Current Report on Form 8-K filed with the Commission on May 21, 2026).</w:t>
        </w:r>
      </w:hyperlink>
    </w:p>
    <w:p>
      <w:pPr>
        <w:spacing w:after="0" w:line="56" w:lineRule="exact"/>
        <w:rPr>
          <w:rFonts w:ascii="Times New Roman" w:cs="Times New Roman" w:eastAsia="Times New Roman" w:hAnsi="Times New Roman"/>
          <w:sz w:val="18"/>
          <w:szCs w:val="18"/>
          <w:u w:val="single" w:color="auto"/>
          <w:color w:val="0000EE"/>
        </w:rPr>
      </w:pPr>
    </w:p>
    <w:p>
      <w:pPr>
        <w:ind w:left="86" w:hanging="86"/>
        <w:spacing w:after="0"/>
        <w:tabs>
          <w:tab w:leader="none" w:pos="8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5.1*</w:t>
      </w:r>
      <w:r>
        <w:rPr>
          <w:rFonts w:ascii="Times New Roman" w:cs="Times New Roman" w:eastAsia="Times New Roman" w:hAnsi="Times New Roman"/>
          <w:sz w:val="17"/>
          <w:szCs w:val="17"/>
          <w:u w:val="single" w:color="auto"/>
          <w:color w:val="0000EE"/>
        </w:rPr>
        <w:t>Legal Opinion of Armstrong Teasdale LLP.</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w:t>
      </w:r>
      <w:r>
        <w:rPr>
          <w:rFonts w:ascii="Times New Roman" w:cs="Times New Roman" w:eastAsia="Times New Roman" w:hAnsi="Times New Roman"/>
          <w:sz w:val="17"/>
          <w:szCs w:val="17"/>
          <w:u w:val="single" w:color="auto"/>
          <w:color w:val="0000EE"/>
        </w:rPr>
        <w:t>Consent of Independent Registered Public Accounting Firm.</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23.2*</w:t>
      </w:r>
      <w:r>
        <w:rPr>
          <w:rFonts w:ascii="Times New Roman" w:cs="Times New Roman" w:eastAsia="Times New Roman" w:hAnsi="Times New Roman"/>
          <w:sz w:val="17"/>
          <w:szCs w:val="17"/>
          <w:u w:val="single" w:color="auto"/>
          <w:color w:val="0000EE"/>
        </w:rPr>
        <w:t>Consent of Armstrong Teasdale LLP (contained in Exhibit 5.1).</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w:t>
      </w:r>
      <w:r>
        <w:rPr>
          <w:rFonts w:ascii="Times New Roman" w:cs="Times New Roman" w:eastAsia="Times New Roman" w:hAnsi="Times New Roman"/>
          <w:sz w:val="17"/>
          <w:szCs w:val="17"/>
          <w:u w:val="single" w:color="auto"/>
          <w:color w:val="0000EE"/>
        </w:rPr>
        <w:t>Power of Attorney (included in Signature Page).</w:t>
      </w:r>
    </w:p>
    <w:p>
      <w:pPr>
        <w:spacing w:after="0" w:line="125" w:lineRule="exact"/>
        <w:rPr>
          <w:rFonts w:ascii="Times New Roman" w:cs="Times New Roman" w:eastAsia="Times New Roman" w:hAnsi="Times New Roman"/>
          <w:sz w:val="18"/>
          <w:szCs w:val="18"/>
          <w:color w:val="auto"/>
        </w:rPr>
      </w:pPr>
    </w:p>
    <w:p>
      <w:pPr>
        <w:ind w:left="6"/>
        <w:spacing w:after="0"/>
        <w:tabs>
          <w:tab w:leader="none" w:pos="906"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8"/>
          <w:szCs w:val="18"/>
          <w:u w:val="single" w:color="auto"/>
          <w:color w:val="0000EE"/>
        </w:rPr>
        <w:t>Filing Fee Table.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55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4" w:lineRule="exact"/>
        <w:rPr>
          <w:rFonts w:ascii="Times New Roman" w:cs="Times New Roman" w:eastAsia="Times New Roman" w:hAnsi="Times New Roman"/>
          <w:sz w:val="18"/>
          <w:szCs w:val="18"/>
          <w:color w:val="auto"/>
        </w:rPr>
      </w:pPr>
    </w:p>
    <w:p>
      <w:pPr>
        <w:ind w:left="6"/>
        <w:spacing w:after="0"/>
        <w:rPr>
          <w:sz w:val="20"/>
          <w:szCs w:val="20"/>
          <w:color w:val="auto"/>
        </w:rPr>
      </w:pPr>
      <w:r>
        <w:rPr>
          <w:rFonts w:ascii="Times New Roman" w:cs="Times New Roman" w:eastAsia="Times New Roman" w:hAnsi="Times New Roman"/>
          <w:sz w:val="18"/>
          <w:szCs w:val="18"/>
          <w:color w:val="auto"/>
        </w:rPr>
        <w:t>*  Filed herewith.</w:t>
      </w:r>
    </w:p>
    <w:p>
      <w:pPr>
        <w:spacing w:after="0" w:line="363" w:lineRule="exact"/>
        <w:rPr>
          <w:rFonts w:ascii="Times New Roman" w:cs="Times New Roman" w:eastAsia="Times New Roman" w:hAnsi="Times New Roman"/>
          <w:sz w:val="18"/>
          <w:szCs w:val="18"/>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18" w:lineRule="exact"/>
        <w:rPr>
          <w:rFonts w:ascii="Times New Roman" w:cs="Times New Roman" w:eastAsia="Times New Roman" w:hAnsi="Times New Roman"/>
          <w:sz w:val="18"/>
          <w:szCs w:val="18"/>
          <w:color w:val="auto"/>
        </w:rPr>
      </w:pPr>
    </w:p>
    <w:p>
      <w:pPr>
        <w:ind w:left="246" w:hanging="246"/>
        <w:spacing w:after="0"/>
        <w:tabs>
          <w:tab w:leader="none" w:pos="24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3" w:lineRule="exact"/>
        <w:rPr>
          <w:rFonts w:ascii="Times New Roman" w:cs="Times New Roman" w:eastAsia="Times New Roman" w:hAnsi="Times New Roman"/>
          <w:sz w:val="18"/>
          <w:szCs w:val="18"/>
          <w:color w:val="auto"/>
        </w:rPr>
      </w:pPr>
    </w:p>
    <w:p>
      <w:pPr>
        <w:ind w:left="686" w:hanging="250"/>
        <w:spacing w:after="0"/>
        <w:tabs>
          <w:tab w:leader="none" w:pos="68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1186" w:hanging="205"/>
        <w:spacing w:after="0"/>
        <w:tabs>
          <w:tab w:leader="none" w:pos="1186"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3" w:lineRule="exact"/>
        <w:rPr>
          <w:rFonts w:ascii="Times New Roman" w:cs="Times New Roman" w:eastAsia="Times New Roman" w:hAnsi="Times New Roman"/>
          <w:sz w:val="18"/>
          <w:szCs w:val="18"/>
          <w:color w:val="auto"/>
        </w:rPr>
      </w:pPr>
    </w:p>
    <w:p>
      <w:pPr>
        <w:ind w:left="6" w:right="20" w:firstLine="975"/>
        <w:spacing w:after="0" w:line="271" w:lineRule="auto"/>
        <w:tabs>
          <w:tab w:leader="none" w:pos="1249" w:val="left"/>
        </w:tabs>
        <w:numPr>
          <w:ilvl w:val="2"/>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65" w:lineRule="exact"/>
        <w:rPr>
          <w:rFonts w:ascii="Times New Roman" w:cs="Times New Roman" w:eastAsia="Times New Roman" w:hAnsi="Times New Roman"/>
          <w:sz w:val="18"/>
          <w:szCs w:val="18"/>
          <w:color w:val="auto"/>
        </w:rPr>
      </w:pPr>
    </w:p>
    <w:p>
      <w:pPr>
        <w:ind w:left="426" w:right="200" w:firstLine="419"/>
        <w:spacing w:after="0" w:line="277" w:lineRule="auto"/>
        <w:rPr>
          <w:sz w:val="20"/>
          <w:szCs w:val="20"/>
          <w:color w:val="auto"/>
        </w:rPr>
      </w:pPr>
      <w:r>
        <w:rPr>
          <w:rFonts w:ascii="Times New Roman" w:cs="Times New Roman" w:eastAsia="Times New Roman" w:hAnsi="Times New Roman"/>
          <w:sz w:val="18"/>
          <w:szCs w:val="18"/>
          <w:color w:val="auto"/>
        </w:rPr>
        <w:t>(iii)  To include any material information with respect to the plan of distribution not previously disclosed in the Registration Statement or any material change to such information in the Registration Statement;</w:t>
      </w:r>
    </w:p>
    <w:p>
      <w:pPr>
        <w:sectPr>
          <w:pgSz w:w="11900" w:h="16838" w:orient="portrait"/>
          <w:cols w:equalWidth="0" w:num="1">
            <w:col w:w="10906"/>
          </w:cols>
          <w:pgMar w:left="494" w:top="268" w:right="499" w:bottom="246" w:gutter="0" w:footer="0" w:header="0"/>
        </w:sectPr>
      </w:pPr>
    </w:p>
    <w:bookmarkStart w:id="3" w:name="page4"/>
    <w:bookmarkEnd w:id="3"/>
    <w:p>
      <w:pPr>
        <w:jc w:val="both"/>
        <w:ind w:left="6" w:right="40"/>
        <w:spacing w:after="0" w:line="263"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provided, however</w:t>
      </w:r>
      <w:r>
        <w:rPr>
          <w:rFonts w:ascii="Times New Roman" w:cs="Times New Roman" w:eastAsia="Times New Roman" w:hAnsi="Times New Roman"/>
          <w:sz w:val="18"/>
          <w:szCs w:val="18"/>
          <w:color w:val="auto"/>
        </w:rPr>
        <w:t>, that the undertakings set forth in paragraphs (a)(1)(i) and (a) (1)(ii) above do not apply if the information required to be included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76" w:lineRule="exact"/>
        <w:rPr>
          <w:sz w:val="20"/>
          <w:szCs w:val="20"/>
          <w:color w:val="auto"/>
        </w:rPr>
      </w:pPr>
    </w:p>
    <w:p>
      <w:pPr>
        <w:ind w:left="6" w:right="160" w:firstLine="430"/>
        <w:spacing w:after="0" w:line="262" w:lineRule="auto"/>
        <w:tabs>
          <w:tab w:leader="none" w:pos="69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77" w:lineRule="exact"/>
        <w:rPr>
          <w:rFonts w:ascii="Times New Roman" w:cs="Times New Roman" w:eastAsia="Times New Roman" w:hAnsi="Times New Roman"/>
          <w:sz w:val="18"/>
          <w:szCs w:val="18"/>
          <w:color w:val="auto"/>
        </w:rPr>
      </w:pPr>
    </w:p>
    <w:p>
      <w:pPr>
        <w:ind w:left="6" w:right="640" w:firstLine="430"/>
        <w:spacing w:after="0" w:line="277" w:lineRule="auto"/>
        <w:tabs>
          <w:tab w:leader="none" w:pos="69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ind w:left="6" w:hanging="6"/>
        <w:spacing w:after="0" w:line="255" w:lineRule="auto"/>
        <w:tabs>
          <w:tab w:leader="none" w:pos="2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further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under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rFonts w:ascii="Times New Roman" w:cs="Times New Roman" w:eastAsia="Times New Roman" w:hAnsi="Times New Roman"/>
          <w:sz w:val="18"/>
          <w:szCs w:val="18"/>
          <w:color w:val="auto"/>
        </w:rPr>
      </w:pPr>
    </w:p>
    <w:p>
      <w:pPr>
        <w:ind w:left="6" w:right="80" w:hanging="6"/>
        <w:spacing w:after="0" w:line="252" w:lineRule="auto"/>
        <w:tabs>
          <w:tab w:leader="none" w:pos="2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906"/>
          </w:cols>
          <w:pgMar w:left="494" w:top="266"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6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Reinsurance Group of America, Incorporated certifies that it has reasonable grounds to believe that it meets all of the requirements for filing on Form S-8 and has duly caused this Registration Statement to be signed on its behalf by the undersigned, thereunto duly authorized, in the City of Chesterfield, State of Missouri, on June 16, 2026.</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REINSURANCE GROUP OF AMERICA,</w:t>
      </w:r>
    </w:p>
    <w:p>
      <w:pPr>
        <w:spacing w:after="0" w:line="3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INCORPORATED</w:t>
      </w:r>
    </w:p>
    <w:p>
      <w:pPr>
        <w:spacing w:after="0" w:line="19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/s/ Axel André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18415</wp:posOffset>
            </wp:positionV>
            <wp:extent cx="25704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1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Axel André</w:t>
      </w:r>
    </w:p>
    <w:p>
      <w:pPr>
        <w:spacing w:after="0" w:line="2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b w:val="1"/>
          <w:bCs w:val="1"/>
          <w:color w:val="auto"/>
        </w:rPr>
        <w:t>Executive Vice President, Chief Financial Officer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20" w:firstLine="436"/>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Axel André and My Chi To and each of them (with full power to each of them to act alone), his or her true and lawful attorneys in fact and agents, with full power of substitution, for him or her and on his or her behalf and in his or her name, place and stead, in any and all capacities to sign any and all amendments (including post-effective amendments and documents in connection therewith) to this Registration Statement, and to file the same, with exhibits and any and all other documents filed with respect thereto, with the Commission (or any other governmental or regulatory authority), granting unto said attorneys, and each of them, full power and authority to do and to perform each and every act and thing requisite and necessary or advisable to be done in and about the premises in order to effectuate the same as fully to all intents and purposes as he or she might or could do if personally present, hereby ratifying and confirming all that said attorneys in fact and agents, or any of them, may lawfully do or cause to be done by virtue hereof.</w:t>
      </w:r>
    </w:p>
    <w:p>
      <w:pPr>
        <w:spacing w:after="0" w:line="185" w:lineRule="exact"/>
        <w:rPr>
          <w:sz w:val="20"/>
          <w:szCs w:val="20"/>
          <w:color w:val="auto"/>
        </w:rPr>
      </w:pPr>
    </w:p>
    <w:p>
      <w:pPr>
        <w:ind w:right="26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on behalf of the registrant in the capacities indicated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2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Stephen T. O’Hearn</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Chair of the Board and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Stephen T. O’Hearn</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Tony Cheng</w:t>
            </w:r>
          </w:p>
        </w:tc>
        <w:tc>
          <w:tcPr>
            <w:tcW w:w="12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175"/>
        </w:trPr>
        <w:tc>
          <w:tcPr>
            <w:tcW w:w="4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Tony Cheng</w:t>
            </w:r>
          </w:p>
        </w:tc>
        <w:tc>
          <w:tcPr>
            <w:tcW w:w="120" w:type="dxa"/>
            <w:vAlign w:val="bottom"/>
          </w:tcPr>
          <w:p>
            <w:pPr>
              <w:spacing w:after="0"/>
              <w:rPr>
                <w:sz w:val="15"/>
                <w:szCs w:val="15"/>
                <w:color w:val="auto"/>
              </w:rPr>
            </w:pPr>
          </w:p>
        </w:tc>
        <w:tc>
          <w:tcPr>
            <w:tcW w:w="49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and Director</w:t>
            </w:r>
          </w:p>
        </w:tc>
        <w:tc>
          <w:tcPr>
            <w:tcW w:w="1740" w:type="dxa"/>
            <w:vAlign w:val="bottom"/>
          </w:tcPr>
          <w:p>
            <w:pPr>
              <w:spacing w:after="0"/>
              <w:rPr>
                <w:sz w:val="15"/>
                <w:szCs w:val="15"/>
                <w:color w:val="auto"/>
              </w:rPr>
            </w:pPr>
          </w:p>
        </w:tc>
      </w:tr>
      <w:tr>
        <w:trPr>
          <w:trHeight w:val="233"/>
        </w:trPr>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1740" w:type="dxa"/>
            <w:vAlign w:val="bottom"/>
          </w:tcPr>
          <w:p>
            <w:pPr>
              <w:spacing w:after="0"/>
              <w:rPr>
                <w:sz w:val="20"/>
                <w:szCs w:val="20"/>
                <w:color w:val="auto"/>
              </w:rPr>
            </w:pPr>
          </w:p>
        </w:tc>
      </w:tr>
      <w:tr>
        <w:trPr>
          <w:trHeight w:val="440"/>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Pina Albo</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Pina Albo</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Peter Babej</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Peter Babej</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Michele Bang</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Michele Bang</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John J. Gauthier</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John J. Gauthier</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bl>
    <w:p>
      <w:pPr>
        <w:sectPr>
          <w:pgSz w:w="11900" w:h="16838" w:orient="portrait"/>
          <w:cols w:equalWidth="0" w:num="1">
            <w:col w:w="10900"/>
          </w:cols>
          <w:pgMar w:left="500" w:top="264" w:right="49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5"/>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tc>
        <w:tc>
          <w:tcPr>
            <w:tcW w:w="120" w:type="dxa"/>
            <w:vAlign w:val="bottom"/>
          </w:tcPr>
          <w:p>
            <w:pPr>
              <w:spacing w:after="0"/>
              <w:rPr>
                <w:sz w:val="16"/>
                <w:szCs w:val="16"/>
                <w:color w:val="auto"/>
              </w:rPr>
            </w:pPr>
          </w:p>
        </w:tc>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Patricia L. Guinn</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Patricia L. Guinn</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Hazel M. McNeilage</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Hazel M. McNeilage</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Alison Rand</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Alison Rand</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Shundrawn Thomas</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Shundrawn Thomas</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Khanh T. Tran</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Khanh T. Tran</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Steven C. Van Wyk</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30"/>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Steven C. Van Wyk</w:t>
            </w:r>
          </w:p>
        </w:tc>
        <w:tc>
          <w:tcPr>
            <w:tcW w:w="1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418"/>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Axel André</w:t>
            </w:r>
          </w:p>
        </w:tc>
        <w:tc>
          <w:tcPr>
            <w:tcW w:w="120" w:type="dxa"/>
            <w:vAlign w:val="bottom"/>
          </w:tcPr>
          <w:p>
            <w:pPr>
              <w:spacing w:after="0"/>
              <w:rPr>
                <w:sz w:val="24"/>
                <w:szCs w:val="24"/>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Executive Vice President and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175"/>
        </w:trPr>
        <w:tc>
          <w:tcPr>
            <w:tcW w:w="41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Axel André</w:t>
            </w:r>
          </w:p>
        </w:tc>
        <w:tc>
          <w:tcPr>
            <w:tcW w:w="120" w:type="dxa"/>
            <w:vAlign w:val="bottom"/>
          </w:tcPr>
          <w:p>
            <w:pPr>
              <w:spacing w:after="0"/>
              <w:rPr>
                <w:sz w:val="15"/>
                <w:szCs w:val="15"/>
                <w:color w:val="auto"/>
              </w:rPr>
            </w:pPr>
          </w:p>
        </w:tc>
        <w:tc>
          <w:tcPr>
            <w:tcW w:w="49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8"/>
              </w:rPr>
              <w:t>Chief Financial Officer (Principal</w:t>
            </w:r>
          </w:p>
        </w:tc>
        <w:tc>
          <w:tcPr>
            <w:tcW w:w="1740" w:type="dxa"/>
            <w:vAlign w:val="bottom"/>
          </w:tcPr>
          <w:p>
            <w:pPr>
              <w:spacing w:after="0"/>
              <w:rPr>
                <w:sz w:val="15"/>
                <w:szCs w:val="15"/>
                <w:color w:val="auto"/>
              </w:rPr>
            </w:pPr>
          </w:p>
        </w:tc>
      </w:tr>
      <w:tr>
        <w:trPr>
          <w:trHeight w:val="233"/>
        </w:trPr>
        <w:tc>
          <w:tcPr>
            <w:tcW w:w="4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Financial and Accounting Officer)</w:t>
            </w:r>
          </w:p>
        </w:tc>
        <w:tc>
          <w:tcPr>
            <w:tcW w:w="1740" w:type="dxa"/>
            <w:vAlign w:val="bottom"/>
          </w:tcPr>
          <w:p>
            <w:pPr>
              <w:spacing w:after="0"/>
              <w:rPr>
                <w:sz w:val="20"/>
                <w:szCs w:val="20"/>
                <w:color w:val="auto"/>
              </w:rPr>
            </w:pPr>
          </w:p>
        </w:tc>
      </w:tr>
    </w:tbl>
    <w:p>
      <w:pPr>
        <w:sectPr>
          <w:pgSz w:w="11900" w:h="16838" w:orient="portrait"/>
          <w:cols w:equalWidth="0" w:num="1">
            <w:col w:w="10900"/>
          </w:cols>
          <w:pgMar w:left="500" w:top="262" w:right="4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992505" cy="992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992505" cy="992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Reinsurance Group of America, Incorporated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16600 Swingley Ridge Road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Chesterfield, Missouri 63017</w:t>
      </w:r>
    </w:p>
    <w:p>
      <w:pPr>
        <w:spacing w:after="0" w:line="22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Registration Statement on Form S-8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acted as counsel in Missouri to Reinsurance Group of America, Incorporated, a Missouri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Registration Statement on Form S-8 (together with the exhibits thereto,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in the form proposed to be filed by the Company on the date hereof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under the Securities Act of 1933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relating to the registration of an aggregate of 300,000 shares (such newly registered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available for future issuance under the Reinsurance Group of America, Incorporated Amended and Restated Employee Stock Purchase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601(b)(5) of Regulation S-K of the General Rules and Regulations of the Commission promulgated under the Securities Act (the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rendering the opinions stated herein, we have examined and relied upon the following:</w:t>
      </w:r>
    </w:p>
    <w:p>
      <w:pPr>
        <w:spacing w:after="0" w:line="127" w:lineRule="exact"/>
        <w:rPr>
          <w:sz w:val="20"/>
          <w:szCs w:val="20"/>
          <w:color w:val="auto"/>
        </w:rPr>
      </w:pPr>
    </w:p>
    <w:p>
      <w:pPr>
        <w:ind w:left="960" w:hanging="539"/>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26"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126" w:lineRule="exact"/>
        <w:rPr>
          <w:rFonts w:ascii="Times New Roman" w:cs="Times New Roman" w:eastAsia="Times New Roman" w:hAnsi="Times New Roman"/>
          <w:sz w:val="18"/>
          <w:szCs w:val="18"/>
          <w:color w:val="auto"/>
        </w:rPr>
      </w:pPr>
    </w:p>
    <w:p>
      <w:pPr>
        <w:ind w:left="960" w:right="140" w:hanging="539"/>
        <w:spacing w:after="0" w:line="277"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a certificate of William Rearden, Senior Vice President, Reinsurance &amp; Regulatory Counsel &amp; Assistant Secretary of the Company, dated as of the date hereof (the “</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w:t>
      </w:r>
    </w:p>
    <w:p>
      <w:pPr>
        <w:spacing w:after="0" w:line="69" w:lineRule="exact"/>
        <w:rPr>
          <w:rFonts w:ascii="Times New Roman" w:cs="Times New Roman" w:eastAsia="Times New Roman" w:hAnsi="Times New Roman"/>
          <w:sz w:val="18"/>
          <w:szCs w:val="18"/>
          <w:color w:val="auto"/>
        </w:rPr>
      </w:pPr>
    </w:p>
    <w:p>
      <w:pPr>
        <w:ind w:left="960" w:right="740" w:hanging="539"/>
        <w:spacing w:after="0" w:line="277"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Amended and Restated Articles of Incorporation of the Company, as amended, as certified pursuant to the Officer’s Certificate as being true, complete, and correct as of the date hereof (the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w:t>
      </w:r>
    </w:p>
    <w:p>
      <w:pPr>
        <w:spacing w:after="0" w:line="69" w:lineRule="exact"/>
        <w:rPr>
          <w:rFonts w:ascii="Times New Roman" w:cs="Times New Roman" w:eastAsia="Times New Roman" w:hAnsi="Times New Roman"/>
          <w:sz w:val="18"/>
          <w:szCs w:val="18"/>
          <w:color w:val="auto"/>
        </w:rPr>
      </w:pPr>
    </w:p>
    <w:p>
      <w:pPr>
        <w:ind w:left="960" w:right="100" w:hanging="539"/>
        <w:spacing w:after="0" w:line="277"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Amended and Restated Bylaws of the Company as certified pursuant to the Officer’s Certificate as being true, complete, and correct as of the date hereof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together with the Articles, the “</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w:t>
      </w:r>
    </w:p>
    <w:p>
      <w:pPr>
        <w:spacing w:after="0" w:line="69" w:lineRule="exact"/>
        <w:rPr>
          <w:rFonts w:ascii="Times New Roman" w:cs="Times New Roman" w:eastAsia="Times New Roman" w:hAnsi="Times New Roman"/>
          <w:sz w:val="18"/>
          <w:szCs w:val="18"/>
          <w:color w:val="auto"/>
        </w:rPr>
      </w:pPr>
    </w:p>
    <w:p>
      <w:pPr>
        <w:ind w:left="960" w:right="60" w:hanging="539"/>
        <w:spacing w:after="0" w:line="257"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(a) the resolutions adopted by the Board of Directors of the Company at a meeting held on March 19, 2026, and (b) the resolutions adopted by the Board of Directors of the Company at a meeting held on April 23, 2026, each as certified pursuant to the Officer’s Certificate as being true, complete, and correct as of the date hereof and as remaining in full force and effect and having not been amended, supplemented, modified, revoked or rescinded as of the date hereof; and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ARMSTRONG TEASDALE LLP | 7700 FORSYTH BLVD., SUITE 1800, ST. LOUIS, MISSOURI 63105 </w:t>
      </w: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16"/>
          <w:szCs w:val="16"/>
          <w:color w:val="auto"/>
        </w:rPr>
        <w:t xml:space="preserve"> 314.621.5070 </w:t>
      </w:r>
      <w:r>
        <w:rPr>
          <w:rFonts w:ascii="Times New Roman" w:cs="Times New Roman" w:eastAsia="Times New Roman" w:hAnsi="Times New Roman"/>
          <w:sz w:val="16"/>
          <w:szCs w:val="16"/>
          <w:b w:val="1"/>
          <w:bCs w:val="1"/>
          <w:color w:val="auto"/>
        </w:rPr>
        <w:t>F</w:t>
      </w:r>
      <w:r>
        <w:rPr>
          <w:rFonts w:ascii="Times New Roman" w:cs="Times New Roman" w:eastAsia="Times New Roman" w:hAnsi="Times New Roman"/>
          <w:sz w:val="16"/>
          <w:szCs w:val="16"/>
          <w:color w:val="auto"/>
        </w:rPr>
        <w:t xml:space="preserve"> 314.621.5065 </w:t>
      </w:r>
      <w:r>
        <w:rPr>
          <w:rFonts w:ascii="Times New Roman" w:cs="Times New Roman" w:eastAsia="Times New Roman" w:hAnsi="Times New Roman"/>
          <w:sz w:val="16"/>
          <w:szCs w:val="16"/>
          <w:b w:val="1"/>
          <w:bCs w:val="1"/>
          <w:color w:val="auto"/>
        </w:rPr>
        <w:t>ArmstrongTeasdale.com</w:t>
      </w:r>
    </w:p>
    <w:p>
      <w:pPr>
        <w:sectPr>
          <w:pgSz w:w="11900" w:h="16838" w:orient="portrait"/>
          <w:cols w:equalWidth="0" w:num="1">
            <w:col w:w="10900"/>
          </w:cols>
          <w:pgMar w:left="500" w:top="117" w:right="499" w:bottom="1440" w:gutter="0" w:footer="0" w:header="0"/>
        </w:sectPr>
      </w:pPr>
    </w:p>
    <w:bookmarkStart w:id="7" w:name="page8"/>
    <w:bookmarkEnd w:id="7"/>
    <w:p>
      <w:pPr>
        <w:ind w:left="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Reinsurance Group of America, Incorporated</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June 16, 2026</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966" w:hanging="539"/>
        <w:spacing w:after="0"/>
        <w:tabs>
          <w:tab w:leader="none" w:pos="9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 standing certificate issued by the Secretary of State of the State of Missouri with respect to the Company on June 15, 2026.</w:t>
      </w:r>
    </w:p>
    <w:p>
      <w:pPr>
        <w:spacing w:after="0" w:line="220" w:lineRule="exact"/>
        <w:rPr>
          <w:sz w:val="20"/>
          <w:szCs w:val="20"/>
          <w:color w:val="auto"/>
        </w:rPr>
      </w:pPr>
    </w:p>
    <w:p>
      <w:pPr>
        <w:ind w:left="6"/>
        <w:spacing w:after="0" w:line="277" w:lineRule="auto"/>
        <w:rPr>
          <w:sz w:val="20"/>
          <w:szCs w:val="20"/>
          <w:color w:val="auto"/>
        </w:rPr>
      </w:pPr>
      <w:r>
        <w:rPr>
          <w:rFonts w:ascii="Times New Roman" w:cs="Times New Roman" w:eastAsia="Times New Roman" w:hAnsi="Times New Roman"/>
          <w:sz w:val="17"/>
          <w:szCs w:val="17"/>
          <w:color w:val="auto"/>
        </w:rPr>
        <w:t>In connection with this opinion letter, we have examined and relied upon such records, statements, documents, certificates and other instruments of public officials and officers of the Company as in our judgment are necessary or appropriate to form the basis for the opinions hereinafter set forth. As to facts material to the opinions expressed herein, we have relied, without independent investigation, upon statements, certificates and representations of officers and other representatives of the Company, public officials and others, including the facts and conclusions set forth in the Officer’s Certificate.</w:t>
      </w:r>
    </w:p>
    <w:p>
      <w:pPr>
        <w:spacing w:after="0" w:line="166" w:lineRule="exact"/>
        <w:rPr>
          <w:sz w:val="20"/>
          <w:szCs w:val="20"/>
          <w:color w:val="auto"/>
        </w:rPr>
      </w:pPr>
    </w:p>
    <w:p>
      <w:pPr>
        <w:ind w:left="6"/>
        <w:spacing w:after="0" w:line="252" w:lineRule="auto"/>
        <w:rPr>
          <w:sz w:val="20"/>
          <w:szCs w:val="20"/>
          <w:color w:val="auto"/>
        </w:rPr>
      </w:pPr>
      <w:r>
        <w:rPr>
          <w:rFonts w:ascii="Times New Roman" w:cs="Times New Roman" w:eastAsia="Times New Roman" w:hAnsi="Times New Roman"/>
          <w:sz w:val="18"/>
          <w:szCs w:val="18"/>
          <w:color w:val="auto"/>
        </w:rPr>
        <w:t>In our examination of the foregoing, we have assumed the genuineness of all signatures, including electronic signatures, the legal competence and capacity of natural persons, the authenticity of documents submitted to us as originals and the conformity with authentic original documents of all documents submitted to us as copies or by facsimile or other means of electronic transmission, or which we obtained from the Commission’s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or other sites maintained by a court or governmental authority or regulatory body and the authenticity of the originals of such latter documents. If any documents we examined in printed, word processed or similar form have been filed with the Commission on EDGAR or such court or governmental authority or regulatory body, we have assumed that the document so filed is identical to the document we examined except for formatting changes. We have assumed that the books and records of the Company are maintained in accordance with proper corporate procedures.</w:t>
      </w:r>
    </w:p>
    <w:p>
      <w:pPr>
        <w:spacing w:after="0" w:line="185" w:lineRule="exact"/>
        <w:rPr>
          <w:sz w:val="20"/>
          <w:szCs w:val="20"/>
          <w:color w:val="auto"/>
        </w:rPr>
      </w:pPr>
    </w:p>
    <w:p>
      <w:pPr>
        <w:ind w:left="6" w:right="20"/>
        <w:spacing w:after="0" w:line="255" w:lineRule="auto"/>
        <w:rPr>
          <w:sz w:val="20"/>
          <w:szCs w:val="20"/>
          <w:color w:val="auto"/>
        </w:rPr>
      </w:pPr>
      <w:r>
        <w:rPr>
          <w:rFonts w:ascii="Times New Roman" w:cs="Times New Roman" w:eastAsia="Times New Roman" w:hAnsi="Times New Roman"/>
          <w:sz w:val="18"/>
          <w:szCs w:val="18"/>
          <w:color w:val="auto"/>
        </w:rPr>
        <w:t>In making our examination of executed documents, we have assumed (i) that the parties thereto, other than the Company to the extent addressed in the opinions below, had the power, corporate or other, to enter into and perform all obligations thereunder, (ii) that the parties thereto are duly organized and validly existing, (iii) the due authorization of the execution, delivery and performance of such documents by all requisite action, corporate or other, by such parties, (iv) the due execution and delivery by such parties of such documents by authorized signatories, and (v) the enforceability, validity and binding effect of such documents on such parties.</w:t>
      </w:r>
    </w:p>
    <w:p>
      <w:pPr>
        <w:spacing w:after="0" w:line="18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In rendering the opinions stated herein, we have also assumed that (i) the Shares will be issued in book-entry form and an appropriate account statement</w:t>
      </w:r>
    </w:p>
    <w:p>
      <w:pPr>
        <w:spacing w:after="0" w:line="3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evidencing the Shares credited to a recipient’s account maintained with the Company’s transfer agent and registrar will be issued by the Company’s</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transfer agent and registrar; (ii) the issuance of the Shares will be properly recorded in the books and records of the Company; (iii) the subscription</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agreement and/or other documentation pursuant to which participation, purchase rights and Shares will be granted pursuant to the Plan (each, a</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Document</w:t>
      </w:r>
      <w:r>
        <w:rPr>
          <w:rFonts w:ascii="Times New Roman" w:cs="Times New Roman" w:eastAsia="Times New Roman" w:hAnsi="Times New Roman"/>
          <w:sz w:val="18"/>
          <w:szCs w:val="18"/>
          <w:color w:val="auto"/>
        </w:rPr>
        <w:t>”) will be consistent with the Plan; (iv) each Subscription Document will be duly authorized, validly executed and delivered</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by the parties thereto; (v) the consideration received by the Company for each of the Shares issued pursuant to the Plan shall not be less than the per</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share par value of the Shares; (vi) the Company’s authorized capital stock is as set forth in the Articles, and we have relied solely on the copy thereof</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certified pursuant to the Officer’s Certificate and have not made any other inquiries or investigations; (vii) the Company will continue to have sufficient</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color w:val="auto"/>
        </w:rPr>
        <w:t>authorized shares of Common Stock; (viii) the issuance of the Shares does not and will not conflict with or constitute a violation of, or a breach under, or</w:t>
      </w:r>
    </w:p>
    <w:p>
      <w:pPr>
        <w:spacing w:after="0" w:line="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require the consent, approval or authorization of or any filing with any third party (including any United States federal or any state governmental</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authority) under (A) any agreement or instrument binding on the Company (except that we do not make this assumption with respect to the</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Organizational Documents) or (B) any United States federal or state law, rule or regulation, other than the filing and effectiveness of the Registration</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Statement (except that we do not make this assumption with respect to The General and Business Corporation Law of Missouri (the “</w:t>
      </w:r>
      <w:r>
        <w:rPr>
          <w:rFonts w:ascii="Times New Roman" w:cs="Times New Roman" w:eastAsia="Times New Roman" w:hAnsi="Times New Roman"/>
          <w:sz w:val="18"/>
          <w:szCs w:val="18"/>
          <w:b w:val="1"/>
          <w:bCs w:val="1"/>
          <w:color w:val="auto"/>
        </w:rPr>
        <w:t>GBCL</w:t>
      </w:r>
      <w:r>
        <w:rPr>
          <w:rFonts w:ascii="Times New Roman" w:cs="Times New Roman" w:eastAsia="Times New Roman" w:hAnsi="Times New Roman"/>
          <w:sz w:val="18"/>
          <w:szCs w:val="18"/>
          <w:color w:val="auto"/>
        </w:rPr>
        <w:t>”)); and</w:t>
      </w:r>
    </w:p>
    <w:p>
      <w:pPr>
        <w:spacing w:after="0" w:line="7" w:lineRule="exact"/>
        <w:rPr>
          <w:sz w:val="20"/>
          <w:szCs w:val="20"/>
          <w:color w:val="auto"/>
        </w:rPr>
      </w:pPr>
    </w:p>
    <w:p>
      <w:pPr>
        <w:ind w:left="6" w:right="320" w:hanging="6"/>
        <w:spacing w:after="0" w:line="255" w:lineRule="auto"/>
        <w:tabs>
          <w:tab w:leader="none" w:pos="30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applicable times, the Company was and will be duly formed, validly existing and in good standing, with the requisite legal status and legal capacity under the laws of the jurisdiction of its organization.</w:t>
      </w:r>
    </w:p>
    <w:p>
      <w:pPr>
        <w:spacing w:after="0" w:line="1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ARMSTRONG TEASDALE LLP</w:t>
      </w:r>
    </w:p>
    <w:p>
      <w:pPr>
        <w:sectPr>
          <w:pgSz w:w="11900" w:h="16838" w:orient="portrait"/>
          <w:cols w:equalWidth="0" w:num="1">
            <w:col w:w="10886"/>
          </w:cols>
          <w:pgMar w:left="494" w:top="268" w:right="519" w:bottom="1440" w:gutter="0" w:footer="0" w:header="0"/>
        </w:sectPr>
      </w:pPr>
    </w:p>
    <w:bookmarkStart w:id="8" w:name="page9"/>
    <w:bookmarkEnd w:id="8"/>
    <w:p>
      <w:pPr>
        <w:ind w:left="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Reinsurance Group of America, Incorporated</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June 16, 2026</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jc w:val="both"/>
        <w:ind w:left="6" w:right="340"/>
        <w:spacing w:after="0" w:line="262" w:lineRule="auto"/>
        <w:rPr>
          <w:sz w:val="20"/>
          <w:szCs w:val="20"/>
          <w:color w:val="auto"/>
        </w:rPr>
      </w:pPr>
      <w:r>
        <w:rPr>
          <w:rFonts w:ascii="Times New Roman" w:cs="Times New Roman" w:eastAsia="Times New Roman" w:hAnsi="Times New Roman"/>
          <w:sz w:val="18"/>
          <w:szCs w:val="18"/>
          <w:color w:val="auto"/>
        </w:rPr>
        <w:t>Our opinions set forth herein are limited to the GBCL. We do not express any opinion (i) with respect to any law other than the GBCL, (ii) as to the effect of any other law on any opinion herein stated, or (iii) as to the securities or “blue sky” laws of any jurisdiction. The opinions expressed in this opinion letter are strictly limited to the matters stated in this opinion letter, and no other opinions are to be implied.</w:t>
      </w:r>
    </w:p>
    <w:p>
      <w:pPr>
        <w:spacing w:after="0" w:line="177" w:lineRule="exact"/>
        <w:rPr>
          <w:sz w:val="20"/>
          <w:szCs w:val="20"/>
          <w:color w:val="auto"/>
        </w:rPr>
      </w:pPr>
    </w:p>
    <w:p>
      <w:pPr>
        <w:ind w:left="6"/>
        <w:spacing w:after="0" w:line="268" w:lineRule="auto"/>
        <w:rPr>
          <w:sz w:val="20"/>
          <w:szCs w:val="20"/>
          <w:color w:val="auto"/>
        </w:rPr>
      </w:pPr>
      <w:r>
        <w:rPr>
          <w:rFonts w:ascii="Times New Roman" w:cs="Times New Roman" w:eastAsia="Times New Roman" w:hAnsi="Times New Roman"/>
          <w:sz w:val="17"/>
          <w:szCs w:val="17"/>
          <w:color w:val="auto"/>
        </w:rPr>
        <w:t>Based upon and relying on the foregoing and subject to the qualifications, assumptions and limitations set forth herein, as of the date hereof, we are of the opinion that (i) the Shares have been duly authorized by all requisite corporate action on the part of the Company under the GBCL, and (ii) when (A) the Registration Statement, as finally amended, becomes effective under the Securities Act, (B) the Shares are duly issued in accordance with the terms and conditions of the Plan, the Organizational Documents (as they may be amended from time to time), and the applicable Subscription Documents, and</w:t>
      </w:r>
    </w:p>
    <w:p>
      <w:pPr>
        <w:spacing w:after="0" w:line="1" w:lineRule="exact"/>
        <w:rPr>
          <w:sz w:val="20"/>
          <w:szCs w:val="20"/>
          <w:color w:val="auto"/>
        </w:rPr>
      </w:pPr>
    </w:p>
    <w:p>
      <w:pPr>
        <w:ind w:left="6" w:right="80" w:hanging="6"/>
        <w:spacing w:after="0" w:line="255" w:lineRule="auto"/>
        <w:tabs>
          <w:tab w:leader="none" w:pos="28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consideration in an amount at least equal to the par value of such Shares, the Shares will be validly issued, fully paid and nonassessable.</w:t>
      </w:r>
    </w:p>
    <w:p>
      <w:pPr>
        <w:spacing w:after="0" w:line="182" w:lineRule="exact"/>
        <w:rPr>
          <w:sz w:val="20"/>
          <w:szCs w:val="20"/>
          <w:color w:val="auto"/>
        </w:rPr>
      </w:pPr>
    </w:p>
    <w:p>
      <w:pPr>
        <w:ind w:left="6" w:right="80"/>
        <w:spacing w:after="0" w:line="255"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In giving such consent, we do not thereby concede that we are within the category of persons whose consent is required under Section 7 of the Securities Act or the Rules and Regulations. Our opinions are limited to the specific issues addressed herein, and no opinion may be inferred or implied beyond that expressly stated herein. Our opinions are expressed as of the date hereof unless otherwise expressly stated, and we disclaim any undertaking to advise you of any subsequent changes in the facts stated or assumed herein or of any subsequent changes in applicable law.</w:t>
      </w:r>
    </w:p>
    <w:p>
      <w:pPr>
        <w:spacing w:after="0" w:line="210" w:lineRule="exact"/>
        <w:rPr>
          <w:sz w:val="20"/>
          <w:szCs w:val="20"/>
          <w:color w:val="auto"/>
        </w:rPr>
      </w:pPr>
    </w:p>
    <w:p>
      <w:pPr>
        <w:ind w:left="6546"/>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6" w:lineRule="exact"/>
        <w:rPr>
          <w:sz w:val="20"/>
          <w:szCs w:val="20"/>
          <w:color w:val="auto"/>
        </w:rPr>
      </w:pPr>
    </w:p>
    <w:p>
      <w:pPr>
        <w:ind w:left="6546"/>
        <w:spacing w:after="0"/>
        <w:rPr>
          <w:sz w:val="20"/>
          <w:szCs w:val="20"/>
          <w:color w:val="auto"/>
        </w:rPr>
      </w:pPr>
      <w:r>
        <w:rPr>
          <w:rFonts w:ascii="Times New Roman" w:cs="Times New Roman" w:eastAsia="Times New Roman" w:hAnsi="Times New Roman"/>
          <w:sz w:val="18"/>
          <w:szCs w:val="18"/>
          <w:b w:val="1"/>
          <w:bCs w:val="1"/>
          <w:color w:val="auto"/>
        </w:rPr>
        <w:t xml:space="preserve">/s/ </w:t>
      </w:r>
      <w:r>
        <w:rPr>
          <w:rFonts w:ascii="Times New Roman" w:cs="Times New Roman" w:eastAsia="Times New Roman" w:hAnsi="Times New Roman"/>
          <w:sz w:val="18"/>
          <w:szCs w:val="18"/>
          <w:color w:val="auto"/>
        </w:rPr>
        <w:t>Armstrong Teasdale LLP</w:t>
      </w:r>
    </w:p>
    <w:p>
      <w:pPr>
        <w:spacing w:after="0" w:line="224" w:lineRule="exact"/>
        <w:rPr>
          <w:sz w:val="20"/>
          <w:szCs w:val="20"/>
          <w:color w:val="auto"/>
        </w:rPr>
      </w:pPr>
    </w:p>
    <w:p>
      <w:pPr>
        <w:ind w:left="6546"/>
        <w:spacing w:after="0"/>
        <w:rPr>
          <w:sz w:val="20"/>
          <w:szCs w:val="20"/>
          <w:color w:val="auto"/>
        </w:rPr>
      </w:pPr>
      <w:r>
        <w:rPr>
          <w:rFonts w:ascii="Times New Roman" w:cs="Times New Roman" w:eastAsia="Times New Roman" w:hAnsi="Times New Roman"/>
          <w:sz w:val="18"/>
          <w:szCs w:val="18"/>
          <w:color w:val="auto"/>
        </w:rPr>
        <w:t>Armstrong Teasdale LLP</w:t>
      </w:r>
    </w:p>
    <w:p>
      <w:pPr>
        <w:spacing w:after="0" w:line="15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ARMSTRONG TEASDALE LLP</w:t>
      </w:r>
    </w:p>
    <w:p>
      <w:pPr>
        <w:sectPr>
          <w:pgSz w:w="11900" w:h="16838" w:orient="portrait"/>
          <w:cols w:equalWidth="0" w:num="1">
            <w:col w:w="10886"/>
          </w:cols>
          <w:pgMar w:left="494" w:top="268" w:right="5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11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20, 2026, relating to the financial statements and financial statement schedules of Reinsurance Group of America, Incorporated and the effectiveness of Reinsurance Group of America, Incorporated’s internal control over financial reporting, appearing in the Annual Report on Form 10-K of Reinsurance Group of America, Incorporated for the year ended December 31, 2025.</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and Touche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Saint Louis, Missouri</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ectPr>
          <w:pgSz w:w="11900" w:h="16838" w:orient="portrait"/>
          <w:cols w:equalWidth="0" w:num="1">
            <w:col w:w="10900"/>
          </w:cols>
          <w:pgMar w:left="500" w:top="117" w:right="499" w:bottom="1440" w:gutter="0" w:footer="0" w:header="0"/>
        </w:sectPr>
      </w:pPr>
    </w:p>
    <w:bookmarkStart w:id="10" w:name="page11"/>
    <w:bookmarkEnd w:id="10"/>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REINSURANCE GROUP OF AMERICA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 par</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300,000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$ 203.59</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$ 8,434.73</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61,077,000.00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$0.01 per</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$ 8,434.73</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61,077,000.00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$ 8,434.73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840" w:hanging="225"/>
        <w:spacing w:after="0" w:line="236" w:lineRule="auto"/>
        <w:tabs>
          <w:tab w:leader="none" w:pos="800" w:val="left"/>
        </w:tabs>
        <w:numPr>
          <w:ilvl w:val="0"/>
          <w:numId w:val="11"/>
        </w:numPr>
        <w:rPr>
          <w:rFonts w:ascii="Arial" w:cs="Arial" w:eastAsia="Arial" w:hAnsi="Arial"/>
          <w:sz w:val="27"/>
          <w:szCs w:val="27"/>
          <w:color w:val="auto"/>
          <w:vertAlign w:val="superscript"/>
        </w:rPr>
      </w:pPr>
      <w:r>
        <w:rPr>
          <w:rFonts w:ascii="Arial" w:cs="Arial" w:eastAsia="Arial" w:hAnsi="Arial"/>
          <w:sz w:val="21"/>
          <w:szCs w:val="21"/>
          <w:color w:val="auto"/>
        </w:rPr>
        <w:t>(1) This registration statement, pursuant to Rule 416(a) under the Securities Act of 1933, as amended (the "Securities Act"), covers an indeterminate number of additional shares of the common stock, par value $0.01 per share (the "Common Stock") of Reinsurance Group of America, Incorporated (the "Registrant"), which may become issuable with respect to the shares of Common Stock registered hereunder in the event of a stock split, stock dividend or similar transaction. (2) Represents 300,000 newly authorized shares of Common Stock reserved for issuance pursuant to the Registrant's Amended and Restated Employee Stock Purchase Plan. (3) Estimated solely for the purpose of computing the registration fee in accordance with Rule 457(h) and Rule 457(c) of the Securities Act, based on the average of the high and low prices of the Registrant's Common Stock as reported in the consolidated reporting system of the New York Stock Exchange on June 9, 2026, which is within five business days prior to the filing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83820</wp:posOffset>
            </wp:positionV>
            <wp:extent cx="63874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amp;"/>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
      <w:numFmt w:val="bullet"/>
      <w:start w:val="1"/>
    </w:lvl>
  </w:abstractNum>
  <w:abstractNum w:abstractNumId="3">
    <w:nsid w:val="79E2A9E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7545E146"/>
    <w:multiLevelType w:val="hybridMultilevel"/>
    <w:lvl w:ilvl="0">
      <w:lvlJc w:val="left"/>
      <w:lvlText w:val="%1"/>
      <w:numFmt w:val="lowerLetter"/>
      <w:start w:val="1"/>
    </w:lvl>
    <w:lvl w:ilvl="1">
      <w:lvlJc w:val="left"/>
      <w:lvlText w:val="(%2)"/>
      <w:numFmt w:val="decimal"/>
      <w:start w:val="2"/>
    </w:lvl>
  </w:abstractNum>
  <w:abstractNum w:abstractNumId="5">
    <w:nsid w:val="515F007C"/>
    <w:multiLevelType w:val="hybridMultilevel"/>
    <w:lvl w:ilvl="0">
      <w:lvlJc w:val="left"/>
      <w:lvlText w:val="(%1)"/>
      <w:numFmt w:val="lowerLetter"/>
      <w:start w:val="2"/>
    </w:lvl>
    <w:lvl w:ilvl="1">
      <w:lvlJc w:val="left"/>
      <w:lvlText w:val="%2"/>
      <w:numFmt w:val="decimal"/>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7"/>
    </w:lvl>
  </w:abstractNum>
  <w:abstractNum w:abstractNumId="8">
    <w:nsid w:val="4DB127F8"/>
    <w:multiLevelType w:val="hybridMultilevel"/>
    <w:lvl w:ilvl="0">
      <w:lvlJc w:val="left"/>
      <w:lvlText w:val="(%1)"/>
      <w:numFmt w:val="lowerRoman"/>
      <w:start w:val="9"/>
    </w:lvl>
  </w:abstractNum>
  <w:abstractNum w:abstractNumId="9">
    <w:nsid w:val="216231B"/>
    <w:multiLevelType w:val="hybridMultilevel"/>
    <w:lvl w:ilvl="0">
      <w:lvlJc w:val="left"/>
      <w:lvlText w:val="(%1)"/>
      <w:numFmt w:val="upperLetter"/>
      <w:start w:val="3"/>
    </w:lvl>
  </w:abstractNum>
  <w:abstractNum w:abstractNumId="10">
    <w:nsid w:val="1F16E9E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7"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jpe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21" Type="http://schemas.openxmlformats.org/officeDocument/2006/relationships/hyperlink" Target="http://www.sec.gov/ix?doc=/Archives/edgar/data/0000898174/000089817426000006/rga-20251231.htm" TargetMode="External"/><Relationship Id="rId22" Type="http://schemas.openxmlformats.org/officeDocument/2006/relationships/hyperlink" Target="http://www.sec.gov/ix?doc=/Archives/edgar/data/0000898174/000089817426000025/rga-20260331.htm" TargetMode="External"/><Relationship Id="rId23" Type="http://schemas.openxmlformats.org/officeDocument/2006/relationships/hyperlink" Target="http://www.sec.gov/ix?doc=/Archives/edgar/data/0000898174/000089817426000017/rga-20260408.htm" TargetMode="External"/><Relationship Id="rId24" Type="http://schemas.openxmlformats.org/officeDocument/2006/relationships/hyperlink" Target="http://www.sec.gov/ix?doc=/Archives/edgar/data/898174/000119312526201509/d115304d8k.htm" TargetMode="External"/><Relationship Id="rId25" Type="http://schemas.openxmlformats.org/officeDocument/2006/relationships/hyperlink" Target="http://www.sec.gov/ix?doc=/Archives/edgar/data/898174/000119312526234445/d136842d8k.htm" TargetMode="External"/><Relationship Id="rId26" Type="http://schemas.openxmlformats.org/officeDocument/2006/relationships/hyperlink" Target="http://www.sec.gov/Archives/edgar/data/898174/000089817423000046/a202210-kex411.htm" TargetMode="External"/><Relationship Id="rId28" Type="http://schemas.openxmlformats.org/officeDocument/2006/relationships/hyperlink" Target="http://www.sec.gov/Archives/edgar/data/898174/000119312520150241/d929891dex31i.htm" TargetMode="External"/><Relationship Id="rId29" Type="http://schemas.openxmlformats.org/officeDocument/2006/relationships/hyperlink" Target="http://www.sec.gov/Archives/edgar/data/898174/000119312522309205/d438101dex31.htm" TargetMode="External"/><Relationship Id="rId30" Type="http://schemas.openxmlformats.org/officeDocument/2006/relationships/hyperlink" Target="http://www.sec.gov/Archives/edgar/data/898174/000119312526234445/d13684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2026-06-16T15:11:50Z</dcterms:created>
  <dcterms:modified xsi:type="dcterms:W3CDTF">2026-06-16T15:11:50Z</dcterms:modified>
</cp:coreProperties>
</file>