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11289.xml.htm"/>
      <w:bookmarkStart w:id="1" w:name="kswkform4_17870112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PORTER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16600 SWINGLEY RIDGE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REINSURANCE GROUP OF AMERICA INC</w:t>
              </w:r>
            </w:hyperlink>
            <w:r>
              <w:rPr/>
              <w:t xml:space="preserve"> [ </w:t>
            </w:r>
            <w:r>
              <w:rPr>
                <w:rFonts w:ascii="Times;serif" w:hAnsi="Times;serif"/>
                <w:color w:val="0000FF"/>
                <w:sz w:val="24"/>
                <w:shd w:fill="FFFFFF" w:val="clear"/>
              </w:rPr>
              <w:t>RGA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Global 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246.2987</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Transactions within a $1.00 price range are summarized in accordance with the June 25, 2008 SEC No- Action letter. The price reported in Column 4 is a weighted average price. These shares were sold in multiple transactions, on August 12, 2026, at prices ranging from $246.220 to $246.525.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My Chi 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118" TargetMode="External"/><Relationship Id="rId5" Type="http://schemas.openxmlformats.org/officeDocument/2006/relationships/hyperlink" Target="http://www.sec.gov/cgi-bin/browse-edgar?action=getcompany&amp;CIK=0000898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3585</Characters>
  <CharactersWithSpaces>4183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